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left" w:pos="5400" w:leader="none"/>
        </w:tabs>
        <w:jc w:val="right"/>
        <w:textAlignment w:val="center"/>
        <w:rPr/>
      </w:pPr>
      <w:r>
        <w:rPr/>
        <w:t>Priedas Nr. 1</w:t>
      </w:r>
    </w:p>
    <w:p>
      <w:pPr>
        <w:pStyle w:val="Normal"/>
        <w:tabs>
          <w:tab w:val="clear" w:pos="1296"/>
          <w:tab w:val="left" w:pos="5400" w:leader="none"/>
        </w:tabs>
        <w:textAlignment w:val="center"/>
        <w:rPr/>
      </w:pPr>
      <w:r>
        <w:rPr/>
      </w:r>
    </w:p>
    <w:p>
      <w:pPr>
        <w:pStyle w:val="Normal"/>
        <w:tabs>
          <w:tab w:val="clear" w:pos="1296"/>
          <w:tab w:val="left" w:pos="0" w:leader="none"/>
          <w:tab w:val="left" w:pos="426" w:leader="none"/>
          <w:tab w:val="left" w:pos="709" w:leader="none"/>
          <w:tab w:val="left" w:pos="993" w:leader="none"/>
        </w:tabs>
        <w:jc w:val="center"/>
        <w:textAlignment w:val="baseline"/>
        <w:rPr>
          <w:szCs w:val="24"/>
          <w:lang w:eastAsia="lt-LT"/>
        </w:rPr>
      </w:pPr>
      <w:r>
        <w:rPr>
          <w:rFonts w:eastAsia="" w:eastAsiaTheme="majorEastAsia"/>
          <w:b/>
          <w:bCs/>
          <w:smallCaps/>
          <w:szCs w:val="24"/>
          <w:lang w:eastAsia="lt-LT"/>
        </w:rPr>
        <w:t>SPECIALIZUOTOS TRUMPALAIKĖS TERAPIJOS ASSIP MOKYMAI PSICHIKOS SVEIKATOS PRIEŽIŪROS SPECIALISTAMS</w:t>
      </w:r>
      <w:r>
        <w:rPr>
          <w:rFonts w:eastAsia="" w:eastAsiaTheme="minorEastAsia"/>
          <w:szCs w:val="24"/>
          <w:lang w:eastAsia="lt-LT"/>
        </w:rPr>
        <w:t> </w:t>
      </w:r>
    </w:p>
    <w:p>
      <w:pPr>
        <w:pStyle w:val="Normal"/>
        <w:suppressAutoHyphens w:val="false"/>
        <w:jc w:val="center"/>
        <w:rPr>
          <w:color w:val="000000"/>
          <w:sz w:val="20"/>
          <w:lang w:eastAsia="lt-LT"/>
        </w:rPr>
      </w:pPr>
      <w:r>
        <w:rPr>
          <w:color w:val="000000"/>
          <w:szCs w:val="24"/>
          <w:lang w:eastAsia="lt-LT"/>
        </w:rPr>
        <w:t>(MOKYMAI, SUPERVIZIJOS, KONSULTAVIMAS)</w:t>
      </w:r>
    </w:p>
    <w:p>
      <w:pPr>
        <w:pStyle w:val="Normal"/>
        <w:tabs>
          <w:tab w:val="clear" w:pos="1296"/>
          <w:tab w:val="left" w:pos="0" w:leader="none"/>
          <w:tab w:val="left" w:pos="426" w:leader="none"/>
          <w:tab w:val="left" w:pos="709" w:leader="none"/>
          <w:tab w:val="left" w:pos="993" w:leader="none"/>
        </w:tabs>
        <w:jc w:val="center"/>
        <w:textAlignment w:val="baseline"/>
        <w:rPr>
          <w:b/>
          <w:szCs w:val="24"/>
          <w:lang w:eastAsia="lt-LT"/>
        </w:rPr>
      </w:pPr>
      <w:r>
        <w:rPr>
          <w:rFonts w:eastAsia="" w:eastAsiaTheme="minorEastAsia"/>
          <w:b/>
          <w:bCs/>
          <w:szCs w:val="24"/>
          <w:lang w:eastAsia="lt-LT"/>
        </w:rPr>
        <w:t>TECHNINĖ SPECIFIKACIJA</w:t>
      </w:r>
    </w:p>
    <w:p>
      <w:pPr>
        <w:pStyle w:val="Normal"/>
        <w:tabs>
          <w:tab w:val="clear" w:pos="1296"/>
          <w:tab w:val="left" w:pos="0" w:leader="none"/>
          <w:tab w:val="left" w:pos="426" w:leader="none"/>
          <w:tab w:val="left" w:pos="709" w:leader="none"/>
          <w:tab w:val="left" w:pos="993" w:leader="none"/>
        </w:tabs>
        <w:jc w:val="center"/>
        <w:textAlignment w:val="baseline"/>
        <w:rPr>
          <w:b/>
          <w:sz w:val="28"/>
          <w:szCs w:val="28"/>
          <w:lang w:eastAsia="lt-LT"/>
        </w:rPr>
      </w:pPr>
      <w:r>
        <w:rPr>
          <w:b/>
          <w:sz w:val="28"/>
          <w:szCs w:val="28"/>
          <w:lang w:eastAsia="lt-LT"/>
        </w:rPr>
      </w:r>
    </w:p>
    <w:p>
      <w:pPr>
        <w:pStyle w:val="Normal"/>
        <w:tabs>
          <w:tab w:val="clear" w:pos="1296"/>
          <w:tab w:val="left" w:pos="0" w:leader="none"/>
          <w:tab w:val="left" w:pos="426" w:leader="none"/>
          <w:tab w:val="left" w:pos="709" w:leader="none"/>
          <w:tab w:val="left" w:pos="993" w:leader="none"/>
        </w:tabs>
        <w:jc w:val="center"/>
        <w:textAlignment w:val="baseline"/>
        <w:rPr>
          <w:b/>
          <w:sz w:val="28"/>
          <w:szCs w:val="28"/>
          <w:lang w:eastAsia="lt-LT"/>
        </w:rPr>
      </w:pPr>
      <w:r>
        <w:rPr>
          <w:b/>
          <w:sz w:val="28"/>
          <w:szCs w:val="28"/>
          <w:lang w:eastAsia="lt-LT"/>
        </w:rPr>
        <w:t>II DALIS</w:t>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b/>
          <w:sz w:val="28"/>
          <w:szCs w:val="28"/>
          <w:lang w:eastAsia="lt-LT"/>
        </w:rPr>
      </w:pPr>
      <w:r>
        <w:rPr>
          <w:rFonts w:cs="Segoe UI" w:ascii="Segoe UI" w:hAnsi="Segoe UI"/>
          <w:b/>
          <w:sz w:val="28"/>
          <w:szCs w:val="28"/>
          <w:lang w:eastAsia="lt-LT"/>
        </w:rPr>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b/>
          <w:bCs/>
          <w:szCs w:val="24"/>
          <w:lang w:eastAsia="lt-LT"/>
        </w:rPr>
        <w:t>I SKYRIUS</w:t>
      </w:r>
      <w:r>
        <w:rPr>
          <w:szCs w:val="24"/>
          <w:lang w:eastAsia="lt-LT"/>
        </w:rPr>
        <w:t> </w:t>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b/>
          <w:bCs/>
          <w:szCs w:val="24"/>
          <w:lang w:eastAsia="lt-LT"/>
        </w:rPr>
        <w:t>BENDROSIOS NUOSTATOS</w:t>
      </w:r>
      <w:r>
        <w:rPr>
          <w:szCs w:val="24"/>
          <w:lang w:eastAsia="lt-LT"/>
        </w:rPr>
        <w:t> </w:t>
      </w:r>
    </w:p>
    <w:p>
      <w:pPr>
        <w:pStyle w:val="Normal"/>
        <w:tabs>
          <w:tab w:val="clear" w:pos="1296"/>
          <w:tab w:val="left" w:pos="0" w:leader="none"/>
          <w:tab w:val="left" w:pos="426" w:leader="none"/>
          <w:tab w:val="left" w:pos="709" w:leader="none"/>
          <w:tab w:val="left" w:pos="993" w:leader="none"/>
        </w:tabs>
        <w:jc w:val="both"/>
        <w:textAlignment w:val="baseline"/>
        <w:rPr>
          <w:szCs w:val="24"/>
          <w:lang w:eastAsia="lt-LT"/>
        </w:rPr>
      </w:pPr>
      <w:r>
        <w:rPr>
          <w:szCs w:val="24"/>
          <w:lang w:eastAsia="lt-LT"/>
        </w:rPr>
        <w:t> </w:t>
      </w:r>
    </w:p>
    <w:p>
      <w:pPr>
        <w:pStyle w:val="Normal"/>
        <w:numPr>
          <w:ilvl w:val="0"/>
          <w:numId w:val="1"/>
        </w:numPr>
        <w:tabs>
          <w:tab w:val="clear" w:pos="1296"/>
          <w:tab w:val="left" w:pos="0" w:leader="none"/>
          <w:tab w:val="left" w:pos="426" w:leader="none"/>
          <w:tab w:val="left" w:pos="709" w:leader="none"/>
          <w:tab w:val="left" w:pos="993" w:leader="none"/>
          <w:tab w:val="left" w:pos="1134" w:leader="none"/>
          <w:tab w:val="left" w:pos="1418" w:leader="none"/>
        </w:tabs>
        <w:spacing w:lineRule="auto" w:line="276" w:before="0" w:after="160"/>
        <w:ind w:hanging="0" w:left="0"/>
        <w:jc w:val="both"/>
        <w:textAlignment w:val="baseline"/>
        <w:rPr>
          <w:szCs w:val="24"/>
          <w:lang w:eastAsia="lt-LT"/>
        </w:rPr>
      </w:pPr>
      <w:r>
        <w:rPr>
          <w:szCs w:val="24"/>
          <w:lang w:eastAsia="lt-LT"/>
        </w:rPr>
        <w:t>Perkančioji organizacija – Higienos institutas (Studentų g. 45A, 08107 Vilnius, įstaigos kodas 111958286) (toliau – Perkančioji organizacija). </w:t>
      </w:r>
    </w:p>
    <w:p>
      <w:pPr>
        <w:pStyle w:val="Normal"/>
        <w:numPr>
          <w:ilvl w:val="0"/>
          <w:numId w:val="1"/>
        </w:numPr>
        <w:tabs>
          <w:tab w:val="clear" w:pos="1296"/>
          <w:tab w:val="left" w:pos="0" w:leader="none"/>
          <w:tab w:val="left" w:pos="426" w:leader="none"/>
          <w:tab w:val="left" w:pos="709" w:leader="none"/>
          <w:tab w:val="left" w:pos="993" w:leader="none"/>
          <w:tab w:val="left" w:pos="1134" w:leader="none"/>
          <w:tab w:val="left" w:pos="1418" w:leader="none"/>
        </w:tabs>
        <w:spacing w:lineRule="auto" w:line="276" w:before="0" w:after="160"/>
        <w:ind w:hanging="0" w:left="0"/>
        <w:jc w:val="both"/>
        <w:textAlignment w:val="baseline"/>
        <w:rPr>
          <w:rStyle w:val="Eop"/>
          <w:szCs w:val="24"/>
          <w:lang w:eastAsia="lt-LT"/>
        </w:rPr>
      </w:pPr>
      <w:r>
        <w:rPr>
          <w:rStyle w:val="Normaltextrun"/>
          <w:rFonts w:eastAsia="" w:eastAsiaTheme="majorEastAsia"/>
          <w:color w:val="000000"/>
          <w:shd w:fill="FFFFFF" w:val="clear"/>
        </w:rPr>
        <w:t>Pirkimas skirtas įgyvendinti Lietuvos Respublikos sveikatos apsaugos ministrės 2026 m. sausio 29 d. įsakymu Nr. V-105 „Dėl Psichikos sveikatos stiprinimo, psichosocialinės pagalbos ir savižudybių prevencijos intervencijų plėtojimo 2026-2028 metų veiksmų plano patvirtinimo“ patvirtinto veiksmų plano 1.1. papunktį „Specializuotos trumpalaikės terapijos ASSIP (angl. Attempted suicide short intervention program) mokymai psichikos sveikatos priežiūros specialistams“. </w:t>
      </w:r>
      <w:r>
        <w:rPr>
          <w:rStyle w:val="Eop"/>
          <w:rFonts w:eastAsia="" w:eastAsiaTheme="majorEastAsia"/>
          <w:color w:val="000000"/>
          <w:shd w:fill="FFFFFF" w:val="clear"/>
        </w:rPr>
        <w:t> </w:t>
      </w:r>
    </w:p>
    <w:p>
      <w:pPr>
        <w:pStyle w:val="Normal"/>
        <w:numPr>
          <w:ilvl w:val="0"/>
          <w:numId w:val="1"/>
        </w:numPr>
        <w:tabs>
          <w:tab w:val="clear" w:pos="1296"/>
          <w:tab w:val="left" w:pos="0" w:leader="none"/>
          <w:tab w:val="left" w:pos="426" w:leader="none"/>
          <w:tab w:val="left" w:pos="709" w:leader="none"/>
          <w:tab w:val="left" w:pos="993" w:leader="none"/>
          <w:tab w:val="left" w:pos="1134" w:leader="none"/>
          <w:tab w:val="left" w:pos="1418" w:leader="none"/>
        </w:tabs>
        <w:spacing w:lineRule="auto" w:line="276" w:before="0" w:after="160"/>
        <w:ind w:hanging="0" w:left="0"/>
        <w:jc w:val="both"/>
        <w:textAlignment w:val="baseline"/>
        <w:rPr>
          <w:lang w:eastAsia="lt-LT"/>
        </w:rPr>
      </w:pPr>
      <w:r>
        <w:rPr>
          <w:lang w:eastAsia="lt-LT"/>
        </w:rPr>
        <w:t>Mokymų tikslinė grupė – medicinos psichologai, dirbantys asmens sveikatos priežiūros įstaigose (toliau – ASPĮ) teikiančiose psichiatrijos stacionarines ir dienos stacionaro paslaugas arba psichikos sveikatos centruose teritorinių ligonių kasų (toliau – TLK) regionų centruose ir atitinkantys šioje Techninėje specifikacijoje nustatytus reikalavimus (toliau – Tikslinė grupė). </w:t>
      </w:r>
    </w:p>
    <w:p>
      <w:pPr>
        <w:pStyle w:val="Normal"/>
        <w:tabs>
          <w:tab w:val="clear" w:pos="1296"/>
          <w:tab w:val="left" w:pos="0" w:leader="none"/>
          <w:tab w:val="left" w:pos="426" w:leader="none"/>
          <w:tab w:val="left" w:pos="709" w:leader="none"/>
          <w:tab w:val="left" w:pos="993" w:leader="none"/>
        </w:tabs>
        <w:jc w:val="both"/>
        <w:textAlignment w:val="baseline"/>
        <w:rPr>
          <w:rFonts w:ascii="Segoe UI" w:hAnsi="Segoe UI" w:cs="Segoe UI"/>
          <w:sz w:val="18"/>
          <w:szCs w:val="18"/>
          <w:lang w:eastAsia="lt-LT"/>
        </w:rPr>
      </w:pPr>
      <w:r>
        <w:rPr>
          <w:szCs w:val="24"/>
          <w:lang w:eastAsia="lt-LT"/>
        </w:rPr>
        <w:t> </w:t>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b/>
          <w:bCs/>
          <w:szCs w:val="24"/>
          <w:lang w:eastAsia="lt-LT"/>
        </w:rPr>
        <w:t>II SKYRIUS</w:t>
      </w:r>
      <w:r>
        <w:rPr>
          <w:szCs w:val="24"/>
          <w:lang w:eastAsia="lt-LT"/>
        </w:rPr>
        <w:t> </w:t>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b/>
          <w:bCs/>
          <w:szCs w:val="24"/>
          <w:lang w:eastAsia="lt-LT"/>
        </w:rPr>
        <w:t>PIRKIMO OBJEKTAS</w:t>
      </w:r>
      <w:r>
        <w:rPr>
          <w:szCs w:val="24"/>
          <w:lang w:eastAsia="lt-LT"/>
        </w:rPr>
        <w:t> </w:t>
      </w:r>
    </w:p>
    <w:p>
      <w:pPr>
        <w:pStyle w:val="Normal"/>
        <w:tabs>
          <w:tab w:val="clear" w:pos="1296"/>
          <w:tab w:val="left" w:pos="0" w:leader="none"/>
          <w:tab w:val="left" w:pos="426" w:leader="none"/>
          <w:tab w:val="left" w:pos="709" w:leader="none"/>
          <w:tab w:val="left" w:pos="993" w:leader="none"/>
        </w:tabs>
        <w:jc w:val="both"/>
        <w:textAlignment w:val="baseline"/>
        <w:rPr>
          <w:rFonts w:ascii="Segoe UI" w:hAnsi="Segoe UI" w:cs="Segoe UI"/>
          <w:sz w:val="18"/>
          <w:szCs w:val="18"/>
          <w:lang w:eastAsia="lt-LT"/>
        </w:rPr>
      </w:pPr>
      <w:r>
        <w:rPr>
          <w:szCs w:val="24"/>
          <w:lang w:eastAsia="lt-LT"/>
        </w:rPr>
        <w:t> </w:t>
      </w:r>
    </w:p>
    <w:p>
      <w:pPr>
        <w:pStyle w:val="Normal"/>
        <w:numPr>
          <w:ilvl w:val="0"/>
          <w:numId w:val="2"/>
        </w:numPr>
        <w:tabs>
          <w:tab w:val="clear" w:pos="1296"/>
          <w:tab w:val="left" w:pos="0" w:leader="none"/>
          <w:tab w:val="left" w:pos="426" w:leader="none"/>
          <w:tab w:val="left" w:pos="709" w:leader="none"/>
          <w:tab w:val="left" w:pos="993" w:leader="none"/>
          <w:tab w:val="left" w:pos="1134" w:leader="none"/>
        </w:tabs>
        <w:spacing w:lineRule="auto" w:line="276" w:before="0" w:after="160"/>
        <w:ind w:hanging="0" w:left="0"/>
        <w:jc w:val="both"/>
        <w:textAlignment w:val="baseline"/>
        <w:rPr>
          <w:lang w:eastAsia="lt-LT"/>
        </w:rPr>
      </w:pPr>
      <w:r>
        <w:rPr>
          <w:lang w:eastAsia="lt-LT"/>
        </w:rPr>
        <w:t xml:space="preserve">Pirkimo objektas – </w:t>
      </w:r>
      <w:bookmarkStart w:id="0" w:name="_Hlk157071995"/>
      <w:r>
        <w:rPr>
          <w:lang w:eastAsia="lt-LT"/>
        </w:rPr>
        <w:t>specializuotos trumpalaikės terapijos ASSIP mokymai atrinktiems psichikos sveikatos priežiūros specialistams</w:t>
      </w:r>
      <w:bookmarkEnd w:id="0"/>
      <w:r>
        <w:rPr>
          <w:lang w:eastAsia="lt-LT"/>
        </w:rPr>
        <w:t>. Paslaugos apima: mokymo dalyvių atranką, mokymo grafikų sudarymą, mokymų vykdymą, mokymų taikant supervizijų metodą (toliau – Supervizija) vykdymą, metodinės medžiagos dalyviams užtikrinimą, mokymų kokybės įvertinimą  (9 punktas) ir ataskaitų apie įvykdytus mokymus rengimą bei teikimą Perkančiajai organizacijai.</w:t>
      </w:r>
    </w:p>
    <w:p>
      <w:pPr>
        <w:pStyle w:val="Normal"/>
        <w:numPr>
          <w:ilvl w:val="0"/>
          <w:numId w:val="2"/>
        </w:numPr>
        <w:tabs>
          <w:tab w:val="clear" w:pos="1296"/>
          <w:tab w:val="left" w:pos="0" w:leader="none"/>
          <w:tab w:val="left" w:pos="426" w:leader="none"/>
          <w:tab w:val="left" w:pos="709" w:leader="none"/>
          <w:tab w:val="left" w:pos="993" w:leader="none"/>
          <w:tab w:val="left" w:pos="1134" w:leader="none"/>
        </w:tabs>
        <w:spacing w:lineRule="auto" w:line="276" w:before="0" w:after="160"/>
        <w:ind w:hanging="0" w:left="0"/>
        <w:jc w:val="both"/>
        <w:textAlignment w:val="baseline"/>
        <w:rPr>
          <w:szCs w:val="24"/>
          <w:lang w:eastAsia="lt-LT"/>
        </w:rPr>
      </w:pPr>
      <w:r>
        <w:rPr>
          <w:szCs w:val="24"/>
          <w:lang w:eastAsia="lt-LT"/>
        </w:rPr>
        <w:t xml:space="preserve">ASSIP programa – tai akredituotų ASSIP mokymų lektorių pagal programą </w:t>
      </w:r>
      <w:r>
        <w:rPr>
          <w:rStyle w:val="Normaltextrun"/>
          <w:rFonts w:eastAsia="" w:eastAsiaTheme="majorEastAsia"/>
          <w:color w:val="000000"/>
          <w:shd w:fill="FFFFFF" w:val="clear"/>
        </w:rPr>
        <w:t>"Specializuotos trumposios terapijos po mėginimo nusižudyti ASSIP taikymas gydymo įstaigose",  Kompetencijų platformoje registracijos Nr. P0000002453</w:t>
      </w:r>
      <w:r>
        <w:rPr>
          <w:szCs w:val="24"/>
          <w:lang w:eastAsia="lt-LT"/>
        </w:rPr>
        <w:t xml:space="preserve">, teikiamos 16 val. mokymų, supervizijų ir </w:t>
      </w:r>
      <w:r>
        <w:rPr>
          <w:bCs/>
          <w:szCs w:val="24"/>
          <w:shd w:fill="FFFFFF" w:val="clear"/>
          <w:lang w:eastAsia="lt-LT"/>
        </w:rPr>
        <w:t xml:space="preserve">4 val. mokymų (baigiamojo susitikimo) </w:t>
      </w:r>
      <w:r>
        <w:rPr>
          <w:szCs w:val="24"/>
          <w:lang w:eastAsia="lt-LT"/>
        </w:rPr>
        <w:t>paslaugos, suteikiančios akreditaciją programą baigusiems specialistams teikti ASSIP intervencijas. </w:t>
      </w:r>
    </w:p>
    <w:p>
      <w:pPr>
        <w:pStyle w:val="Normal"/>
        <w:tabs>
          <w:tab w:val="clear" w:pos="1296"/>
          <w:tab w:val="left" w:pos="0" w:leader="none"/>
          <w:tab w:val="left" w:pos="426" w:leader="none"/>
          <w:tab w:val="left" w:pos="709" w:leader="none"/>
          <w:tab w:val="left" w:pos="993" w:leader="none"/>
        </w:tabs>
        <w:jc w:val="both"/>
        <w:textAlignment w:val="baseline"/>
        <w:rPr>
          <w:rFonts w:ascii="Segoe UI" w:hAnsi="Segoe UI" w:cs="Segoe UI"/>
          <w:sz w:val="18"/>
          <w:szCs w:val="18"/>
          <w:lang w:eastAsia="lt-LT"/>
        </w:rPr>
      </w:pPr>
      <w:r>
        <w:rPr>
          <w:szCs w:val="24"/>
          <w:lang w:eastAsia="lt-LT"/>
        </w:rPr>
        <w:t> </w:t>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b/>
          <w:bCs/>
          <w:szCs w:val="24"/>
          <w:lang w:eastAsia="lt-LT"/>
        </w:rPr>
        <w:t>III SKYRIUS</w:t>
      </w:r>
      <w:r>
        <w:rPr>
          <w:szCs w:val="24"/>
          <w:lang w:eastAsia="lt-LT"/>
        </w:rPr>
        <w:t> </w:t>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b/>
          <w:bCs/>
          <w:szCs w:val="24"/>
          <w:lang w:eastAsia="lt-LT"/>
        </w:rPr>
        <w:t>REIKALAVIMAI MOKYMAMS</w:t>
      </w:r>
      <w:r>
        <w:rPr>
          <w:szCs w:val="24"/>
          <w:lang w:eastAsia="lt-LT"/>
        </w:rPr>
        <w:t> </w:t>
      </w:r>
    </w:p>
    <w:p>
      <w:pPr>
        <w:pStyle w:val="Normal"/>
        <w:tabs>
          <w:tab w:val="clear" w:pos="1296"/>
          <w:tab w:val="left" w:pos="0" w:leader="none"/>
          <w:tab w:val="left" w:pos="426" w:leader="none"/>
          <w:tab w:val="left" w:pos="709" w:leader="none"/>
          <w:tab w:val="left" w:pos="993" w:leader="none"/>
        </w:tabs>
        <w:jc w:val="both"/>
        <w:textAlignment w:val="baseline"/>
        <w:rPr>
          <w:rFonts w:ascii="Segoe UI" w:hAnsi="Segoe UI" w:cs="Segoe UI"/>
          <w:sz w:val="18"/>
          <w:szCs w:val="18"/>
          <w:lang w:eastAsia="lt-LT"/>
        </w:rPr>
      </w:pPr>
      <w:r>
        <w:rPr>
          <w:szCs w:val="24"/>
          <w:lang w:eastAsia="lt-LT"/>
        </w:rPr>
        <w:t> </w:t>
      </w:r>
    </w:p>
    <w:p>
      <w:pPr>
        <w:pStyle w:val="Normal"/>
        <w:numPr>
          <w:ilvl w:val="0"/>
          <w:numId w:val="3"/>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lang w:eastAsia="lt-LT"/>
        </w:rPr>
        <w:t xml:space="preserve">ASSIP programos (mokymų, Supervizijų) organizavimo paslaugos </w:t>
      </w:r>
      <w:r>
        <w:rPr>
          <w:rFonts w:eastAsia="" w:eastAsiaTheme="majorEastAsia"/>
          <w:b/>
          <w:bCs/>
          <w:lang w:eastAsia="lt-LT"/>
        </w:rPr>
        <w:t>turi būti suteiktos per 5 mėnesius nuo sutarties pasirašymo dienos</w:t>
      </w:r>
      <w:r>
        <w:rPr>
          <w:lang w:eastAsia="lt-LT"/>
        </w:rPr>
        <w:t>.</w:t>
      </w:r>
    </w:p>
    <w:p>
      <w:pPr>
        <w:pStyle w:val="Normal"/>
        <w:numPr>
          <w:ilvl w:val="0"/>
          <w:numId w:val="3"/>
        </w:numPr>
        <w:tabs>
          <w:tab w:val="clear" w:pos="1296"/>
          <w:tab w:val="left" w:pos="0" w:leader="none"/>
          <w:tab w:val="left" w:pos="426" w:leader="none"/>
          <w:tab w:val="left" w:pos="709" w:leader="none"/>
          <w:tab w:val="left" w:pos="993" w:leader="none"/>
          <w:tab w:val="left" w:pos="1134" w:leader="none"/>
        </w:tabs>
        <w:spacing w:lineRule="auto" w:line="276" w:before="0" w:after="160"/>
        <w:ind w:hanging="0" w:left="0"/>
        <w:jc w:val="both"/>
        <w:textAlignment w:val="baseline"/>
        <w:rPr>
          <w:szCs w:val="24"/>
          <w:lang w:eastAsia="lt-LT"/>
        </w:rPr>
      </w:pPr>
      <w:r>
        <w:rPr>
          <w:szCs w:val="24"/>
          <w:lang w:eastAsia="lt-LT"/>
        </w:rPr>
        <w:t>ASSIP programos (mokymų, Supervizijų,) organizavimo paslaugos apima: </w:t>
      </w:r>
    </w:p>
    <w:p>
      <w:pPr>
        <w:pStyle w:val="Normal"/>
        <w:numPr>
          <w:ilvl w:val="1"/>
          <w:numId w:val="7"/>
        </w:numPr>
        <w:tabs>
          <w:tab w:val="clear" w:pos="1296"/>
          <w:tab w:val="left" w:pos="0" w:leader="none"/>
          <w:tab w:val="left" w:pos="426" w:leader="none"/>
          <w:tab w:val="left" w:pos="709" w:leader="none"/>
          <w:tab w:val="left" w:pos="993" w:leader="none"/>
          <w:tab w:val="left" w:pos="1276" w:leader="none"/>
        </w:tabs>
        <w:spacing w:lineRule="auto" w:line="276" w:before="0" w:after="160"/>
        <w:ind w:hanging="0" w:left="0"/>
        <w:contextualSpacing/>
        <w:jc w:val="both"/>
        <w:textAlignment w:val="baseline"/>
        <w:rPr>
          <w:lang w:eastAsia="lt-LT"/>
        </w:rPr>
      </w:pPr>
      <w:r>
        <w:rPr>
          <w:lang w:eastAsia="lt-LT"/>
        </w:rPr>
        <w:t>kandidatų į dalyvių atranką surinkimą pagal TS nurodytus reikalavimus ir dalyvių atrankos į ASSIP programą organizavimą, įtraukiant į procesą Perkančiąją organizaciją ir/ar sveikatos apsaugos ministerijos specialistą; </w:t>
      </w:r>
    </w:p>
    <w:p>
      <w:pPr>
        <w:pStyle w:val="Normal"/>
        <w:numPr>
          <w:ilvl w:val="1"/>
          <w:numId w:val="7"/>
        </w:numPr>
        <w:tabs>
          <w:tab w:val="clear" w:pos="1296"/>
          <w:tab w:val="left" w:pos="0" w:leader="none"/>
          <w:tab w:val="left" w:pos="426" w:leader="none"/>
          <w:tab w:val="left" w:pos="709" w:leader="none"/>
          <w:tab w:val="left" w:pos="993" w:leader="none"/>
          <w:tab w:val="left" w:pos="1276" w:leader="none"/>
        </w:tabs>
        <w:spacing w:lineRule="auto" w:line="276" w:before="0" w:after="160"/>
        <w:ind w:hanging="0" w:left="0"/>
        <w:contextualSpacing/>
        <w:jc w:val="both"/>
        <w:textAlignment w:val="baseline"/>
        <w:rPr>
          <w:b/>
          <w:bCs/>
          <w:lang w:eastAsia="lt-LT"/>
        </w:rPr>
      </w:pPr>
      <w:r>
        <w:rPr>
          <w:lang w:eastAsia="lt-LT"/>
        </w:rPr>
        <w:t xml:space="preserve">kontaktinių mokymų pravedimą. Kontaktinių mokymų (teorinė dalis) trukmė – iki 16 val. (2 dienos). Mokymų grupėje gali dalyvauti nuo 8 iki 15 dalyvių. Mokymus veda ASSIP lektorius, turintis teisę mokyti šios terapijos (toliau – </w:t>
      </w:r>
      <w:r>
        <w:rPr>
          <w:rFonts w:eastAsia="" w:eastAsiaTheme="minorEastAsia"/>
          <w:lang w:eastAsia="lt-LT"/>
        </w:rPr>
        <w:t>Lektorius)</w:t>
      </w:r>
      <w:r>
        <w:rPr>
          <w:lang w:eastAsia="lt-LT"/>
        </w:rPr>
        <w:t>;</w:t>
      </w:r>
    </w:p>
    <w:p>
      <w:pPr>
        <w:pStyle w:val="Normal"/>
        <w:numPr>
          <w:ilvl w:val="1"/>
          <w:numId w:val="7"/>
        </w:numPr>
        <w:tabs>
          <w:tab w:val="clear" w:pos="1296"/>
          <w:tab w:val="left" w:pos="0" w:leader="none"/>
          <w:tab w:val="left" w:pos="426" w:leader="none"/>
          <w:tab w:val="left" w:pos="709" w:leader="none"/>
          <w:tab w:val="left" w:pos="993" w:leader="none"/>
          <w:tab w:val="left" w:pos="1276" w:leader="none"/>
        </w:tabs>
        <w:spacing w:lineRule="auto" w:line="276" w:before="0" w:after="160"/>
        <w:ind w:hanging="0" w:left="0"/>
        <w:contextualSpacing/>
        <w:jc w:val="both"/>
        <w:textAlignment w:val="baseline"/>
        <w:rPr>
          <w:b/>
          <w:bCs/>
          <w:lang w:eastAsia="lt-LT"/>
        </w:rPr>
      </w:pPr>
      <w:r>
        <w:rPr>
          <w:lang w:eastAsia="lt-LT"/>
        </w:rPr>
        <w:t xml:space="preserve">nuotoliniu būdu vykstančių Supervizijų organizavimą. </w:t>
      </w:r>
    </w:p>
    <w:p>
      <w:pPr>
        <w:pStyle w:val="ListParagraph"/>
        <w:numPr>
          <w:ilvl w:val="2"/>
          <w:numId w:val="7"/>
        </w:numPr>
        <w:tabs>
          <w:tab w:val="clear" w:pos="1296"/>
          <w:tab w:val="left" w:pos="0" w:leader="none"/>
          <w:tab w:val="left" w:pos="567" w:leader="none"/>
          <w:tab w:val="left" w:pos="1418" w:leader="none"/>
          <w:tab w:val="left" w:pos="1560" w:leader="none"/>
        </w:tabs>
        <w:spacing w:lineRule="auto" w:line="276" w:before="0" w:after="160"/>
        <w:ind w:hanging="567" w:left="567"/>
        <w:contextualSpacing/>
        <w:jc w:val="both"/>
        <w:textAlignment w:val="baseline"/>
        <w:rPr>
          <w:lang w:eastAsia="lt-LT"/>
        </w:rPr>
      </w:pPr>
      <w:r>
        <w:rPr>
          <w:lang w:eastAsia="lt-LT"/>
        </w:rPr>
        <w:t xml:space="preserve">Kontaktinius mokymus (iki 16 val.) baigusių medicinos psichologų atranką dalyvauti Supervizijose vykdo </w:t>
      </w:r>
      <w:r>
        <w:rPr>
          <w:rFonts w:eastAsia="" w:eastAsiaTheme="minorEastAsia"/>
          <w:lang w:eastAsia="lt-LT"/>
        </w:rPr>
        <w:t xml:space="preserve">Lektorius </w:t>
      </w:r>
      <w:r>
        <w:rPr>
          <w:lang w:eastAsia="lt-LT"/>
        </w:rPr>
        <w:t xml:space="preserve">su Tiekėju. </w:t>
      </w:r>
    </w:p>
    <w:p>
      <w:pPr>
        <w:pStyle w:val="ListParagraph"/>
        <w:numPr>
          <w:ilvl w:val="2"/>
          <w:numId w:val="7"/>
        </w:numPr>
        <w:tabs>
          <w:tab w:val="clear" w:pos="1296"/>
          <w:tab w:val="left" w:pos="0" w:leader="none"/>
          <w:tab w:val="left" w:pos="142" w:leader="none"/>
          <w:tab w:val="left" w:pos="1418" w:leader="none"/>
          <w:tab w:val="left" w:pos="1560" w:leader="none"/>
        </w:tabs>
        <w:spacing w:lineRule="auto" w:line="276" w:before="0" w:after="160"/>
        <w:ind w:hanging="567" w:left="567"/>
        <w:contextualSpacing/>
        <w:jc w:val="both"/>
        <w:textAlignment w:val="baseline"/>
        <w:rPr>
          <w:lang w:eastAsia="lt-LT"/>
        </w:rPr>
      </w:pPr>
      <w:r>
        <w:rPr>
          <w:lang w:eastAsia="lt-LT"/>
        </w:rPr>
        <w:t xml:space="preserve">Iš viso numatoma 16 Supervizijų po 2 val. </w:t>
      </w:r>
      <w:r>
        <w:rPr>
          <w:rFonts w:eastAsia="" w:eastAsiaTheme="minorEastAsia"/>
          <w:lang w:eastAsia="lt-LT"/>
        </w:rPr>
        <w:t>Lektorius (supervizorius)</w:t>
      </w:r>
      <w:r>
        <w:rPr>
          <w:lang w:eastAsia="lt-LT"/>
        </w:rPr>
        <w:t xml:space="preserve"> nuotoliniu būdu vykdydamas Supervizijas užtikrina, kad visi atrinkti dalyviai turėtų galimybę dalyvauti Supervizijose, kurios yra reikalingos jiems įgyti ASSIP mokymų baigimo pažymėjimą.</w:t>
      </w:r>
    </w:p>
    <w:p>
      <w:pPr>
        <w:pStyle w:val="ListParagraph"/>
        <w:numPr>
          <w:ilvl w:val="2"/>
          <w:numId w:val="7"/>
        </w:numPr>
        <w:tabs>
          <w:tab w:val="clear" w:pos="1296"/>
          <w:tab w:val="left" w:pos="0" w:leader="none"/>
          <w:tab w:val="left" w:pos="567" w:leader="none"/>
          <w:tab w:val="left" w:pos="709" w:leader="none"/>
          <w:tab w:val="left" w:pos="1418" w:leader="none"/>
        </w:tabs>
        <w:spacing w:lineRule="auto" w:line="276" w:before="0" w:after="160"/>
        <w:ind w:hanging="567" w:left="567"/>
        <w:contextualSpacing/>
        <w:jc w:val="both"/>
        <w:textAlignment w:val="baseline"/>
        <w:rPr>
          <w:lang w:eastAsia="lt-LT"/>
        </w:rPr>
      </w:pPr>
      <w:r>
        <w:rPr>
          <w:b/>
          <w:bCs/>
          <w:lang w:eastAsia="lt-LT"/>
        </w:rPr>
        <w:t>Perkančioji organizacija neįsipareigoja nupirkti viso 16 Supervizijų po 2 val. kiekio</w:t>
      </w:r>
      <w:r>
        <w:rPr>
          <w:lang w:eastAsia="lt-LT"/>
        </w:rPr>
        <w:t xml:space="preserve">. </w:t>
      </w:r>
      <w:r>
        <w:rPr>
          <w:b/>
          <w:bCs/>
          <w:lang w:eastAsia="lt-LT"/>
        </w:rPr>
        <w:t>Atsiskaitoma už faktiškai suorganizuotas Supervizijas</w:t>
      </w:r>
      <w:r>
        <w:rPr>
          <w:lang w:eastAsia="lt-LT"/>
        </w:rPr>
        <w:t>;</w:t>
      </w:r>
    </w:p>
    <w:p>
      <w:pPr>
        <w:pStyle w:val="Normal"/>
        <w:numPr>
          <w:ilvl w:val="0"/>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lang w:eastAsia="lt-LT"/>
        </w:rPr>
        <w:t>ASSIP programos organizavimą, už kurio vykdymą atsakingas Tiekėjas apima:</w:t>
      </w:r>
    </w:p>
    <w:p>
      <w:pPr>
        <w:pStyle w:val="Normal"/>
        <w:numPr>
          <w:ilvl w:val="1"/>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lang w:eastAsia="lt-LT"/>
        </w:rPr>
        <w:t>tikslinės grupės motyvavimą;</w:t>
      </w:r>
    </w:p>
    <w:p>
      <w:pPr>
        <w:pStyle w:val="Normal"/>
        <w:numPr>
          <w:ilvl w:val="1"/>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lang w:eastAsia="lt-LT"/>
        </w:rPr>
        <w:t>mokymų grafikų sudarymą, suderinimą su Perkančiąja organizacija;</w:t>
      </w:r>
    </w:p>
    <w:p>
      <w:pPr>
        <w:pStyle w:val="Normal"/>
        <w:numPr>
          <w:ilvl w:val="1"/>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lang w:eastAsia="lt-LT"/>
        </w:rPr>
        <w:t xml:space="preserve">pagalbą derinant Supervizijų grafikus tarp </w:t>
      </w:r>
      <w:r>
        <w:rPr>
          <w:rFonts w:eastAsia="" w:eastAsiaTheme="minorEastAsia"/>
          <w:lang w:eastAsia="lt-LT"/>
        </w:rPr>
        <w:t>Lektoriaus (supervizoriaus)</w:t>
      </w:r>
      <w:r>
        <w:rPr>
          <w:lang w:eastAsia="lt-LT"/>
        </w:rPr>
        <w:t xml:space="preserve"> ir dalyvių;</w:t>
      </w:r>
    </w:p>
    <w:p>
      <w:pPr>
        <w:pStyle w:val="Normal"/>
        <w:numPr>
          <w:ilvl w:val="1"/>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lang w:eastAsia="lt-LT"/>
        </w:rPr>
        <w:t>mokymų dalyvių informavimą apie vyksiančias Supervizijas;</w:t>
      </w:r>
    </w:p>
    <w:p>
      <w:pPr>
        <w:pStyle w:val="Normal"/>
        <w:numPr>
          <w:ilvl w:val="1"/>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szCs w:val="24"/>
          <w:lang w:eastAsia="lt-LT"/>
        </w:rPr>
      </w:pPr>
      <w:r>
        <w:rPr>
          <w:szCs w:val="24"/>
          <w:lang w:eastAsia="lt-LT"/>
        </w:rPr>
        <w:t>dalyvių registraciją ir prisijungimo kodų prie nuotolinio Supervizijų mokymo sistemos/vartotojų sukūrimą (nuotoliniams mokymams vykdyti reikalingą mokymo platforma pasirūpina Tiekėjas);</w:t>
      </w:r>
    </w:p>
    <w:p>
      <w:pPr>
        <w:pStyle w:val="Normal"/>
        <w:numPr>
          <w:ilvl w:val="1"/>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lang w:eastAsia="lt-LT"/>
        </w:rPr>
        <w:t>mokymams įgyvendinti reikalingos dalijamosios medžiagos, suderintos su ASSIP lektoriais, (mokymų skaidrės, dalijamoji medžiaga praktiniams užsiėmimams, leidiniai, mokymų knygos) spausdinimas, išdalinimas, ir persiuntimas dalyviams elektroniniu paštu. </w:t>
      </w:r>
    </w:p>
    <w:p>
      <w:pPr>
        <w:pStyle w:val="Normal"/>
        <w:numPr>
          <w:ilvl w:val="1"/>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rFonts w:eastAsia="" w:eastAsiaTheme="minorEastAsia"/>
          <w:lang w:eastAsia="lt-LT"/>
        </w:rPr>
        <w:t xml:space="preserve">Lektoriaus </w:t>
      </w:r>
      <w:r>
        <w:rPr>
          <w:lang w:eastAsia="lt-LT"/>
        </w:rPr>
        <w:t>pasirengimo, administracines, organizacines, kelionės ir kitas reikalingas išlaidas;</w:t>
      </w:r>
    </w:p>
    <w:p>
      <w:pPr>
        <w:pStyle w:val="Normal"/>
        <w:numPr>
          <w:ilvl w:val="1"/>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szCs w:val="24"/>
          <w:lang w:eastAsia="lt-LT"/>
        </w:rPr>
      </w:pPr>
      <w:r>
        <w:rPr>
          <w:szCs w:val="24"/>
          <w:lang w:eastAsia="lt-LT"/>
        </w:rPr>
        <w:t>salės nuomą ir kt. reikalingos įrangos bei priemonių mokymams pravesti užtikrinimą;</w:t>
      </w:r>
    </w:p>
    <w:p>
      <w:pPr>
        <w:pStyle w:val="Normal"/>
        <w:numPr>
          <w:ilvl w:val="1"/>
          <w:numId w:val="7"/>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lang w:eastAsia="lt-LT"/>
        </w:rPr>
        <w:t>dalyviams kavos pertraukos ir pietų organizavimą kontaktinių mokymų metu užtikrinimą.</w:t>
      </w:r>
    </w:p>
    <w:p>
      <w:pPr>
        <w:pStyle w:val="Normal"/>
        <w:numPr>
          <w:ilvl w:val="0"/>
          <w:numId w:val="4"/>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lang w:eastAsia="lt-LT"/>
        </w:rPr>
      </w:pPr>
      <w:r>
        <w:rPr>
          <w:lang w:eastAsia="lt-LT"/>
        </w:rPr>
        <w:t xml:space="preserve">Įvykus ASSIP programos veikloms, </w:t>
      </w:r>
      <w:r>
        <w:rPr>
          <w:b/>
          <w:bCs/>
          <w:lang w:eastAsia="lt-LT"/>
        </w:rPr>
        <w:t>Tiekėjas elektroniniu paštu  išsiunčia dalyviams</w:t>
      </w:r>
      <w:r>
        <w:rPr>
          <w:lang w:eastAsia="lt-LT"/>
        </w:rPr>
        <w:t xml:space="preserve"> su Perkančiąja organizacija suderintą mokymų vertinimo anketą (</w:t>
      </w:r>
      <w:r>
        <w:rPr>
          <w:b/>
          <w:bCs/>
          <w:lang w:eastAsia="lt-LT"/>
        </w:rPr>
        <w:t>elektroninę versiją</w:t>
      </w:r>
      <w:r>
        <w:rPr>
          <w:lang w:eastAsia="lt-LT"/>
        </w:rPr>
        <w:t>), apibendrina bei Perkančiajai organizacijai pateikia apibendrintus vertinimo anketos rezultatus. </w:t>
      </w:r>
    </w:p>
    <w:p>
      <w:pPr>
        <w:pStyle w:val="Normal"/>
        <w:numPr>
          <w:ilvl w:val="0"/>
          <w:numId w:val="4"/>
        </w:numPr>
        <w:tabs>
          <w:tab w:val="clear" w:pos="1296"/>
          <w:tab w:val="left" w:pos="0" w:leader="none"/>
          <w:tab w:val="left" w:pos="426" w:leader="none"/>
          <w:tab w:val="left" w:pos="709" w:leader="none"/>
          <w:tab w:val="left" w:pos="993" w:leader="none"/>
          <w:tab w:val="left" w:pos="1276" w:leader="none"/>
        </w:tabs>
        <w:spacing w:lineRule="auto" w:line="276" w:before="0" w:after="160"/>
        <w:ind w:hanging="0" w:left="0"/>
        <w:jc w:val="both"/>
        <w:textAlignment w:val="baseline"/>
        <w:rPr>
          <w:szCs w:val="24"/>
          <w:lang w:eastAsia="lt-LT"/>
        </w:rPr>
      </w:pPr>
      <w:r>
        <w:rPr>
          <w:szCs w:val="24"/>
          <w:lang w:eastAsia="lt-LT"/>
        </w:rPr>
        <w:t>ASSIP programos dalyvių atranka vykdoma vadovaujantis šiais kriterijais:</w:t>
      </w:r>
    </w:p>
    <w:p>
      <w:pPr>
        <w:pStyle w:val="Normal"/>
        <w:numPr>
          <w:ilvl w:val="1"/>
          <w:numId w:val="8"/>
        </w:numPr>
        <w:tabs>
          <w:tab w:val="clear" w:pos="1296"/>
          <w:tab w:val="left" w:pos="0" w:leader="none"/>
          <w:tab w:val="left" w:pos="426" w:leader="none"/>
          <w:tab w:val="left" w:pos="709" w:leader="none"/>
          <w:tab w:val="left" w:pos="993" w:leader="none"/>
          <w:tab w:val="left" w:pos="1701" w:leader="none"/>
          <w:tab w:val="left" w:pos="2835" w:leader="none"/>
        </w:tabs>
        <w:spacing w:lineRule="auto" w:line="276" w:before="0" w:after="0"/>
        <w:ind w:hanging="0" w:left="0"/>
        <w:contextualSpacing/>
        <w:jc w:val="both"/>
        <w:textAlignment w:val="baseline"/>
        <w:rPr>
          <w:lang w:eastAsia="lt-LT"/>
        </w:rPr>
      </w:pPr>
      <w:r>
        <w:rPr>
          <w:lang w:eastAsia="lt-LT"/>
        </w:rPr>
        <w:t xml:space="preserve"> </w:t>
      </w:r>
      <w:r>
        <w:rPr>
          <w:lang w:eastAsia="lt-LT"/>
        </w:rPr>
        <w:t>D</w:t>
      </w:r>
      <w:r>
        <w:rPr>
          <w:color w:themeColor="text1" w:val="000000"/>
          <w:lang w:eastAsia="lt-LT"/>
        </w:rPr>
        <w:t>alyv</w:t>
      </w:r>
      <w:r>
        <w:rPr>
          <w:lang w:eastAsia="lt-LT"/>
        </w:rPr>
        <w:t>iai -  medicinos psichologai, dirbantys ASPĮ, teikiančiose psichiatrijos stacionarines ir dienos stacionaro paslaugas arba psichikos sveikatos centruose;</w:t>
      </w:r>
    </w:p>
    <w:p>
      <w:pPr>
        <w:pStyle w:val="Normal"/>
        <w:numPr>
          <w:ilvl w:val="1"/>
          <w:numId w:val="8"/>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color w:themeColor="text1" w:val="000000"/>
          <w:lang w:eastAsia="lt-LT"/>
        </w:rPr>
      </w:pPr>
      <w:r>
        <w:rPr>
          <w:color w:themeColor="text1" w:val="000000"/>
          <w:lang w:eastAsia="lt-LT"/>
        </w:rPr>
        <w:t xml:space="preserve"> </w:t>
      </w:r>
      <w:r>
        <w:rPr>
          <w:color w:themeColor="text1" w:val="000000"/>
          <w:lang w:eastAsia="lt-LT"/>
        </w:rPr>
        <w:t>Turi būti dalyvavę  supervizijose ne mažiau kaip 4 val. per 2 metus iki mokymų; </w:t>
      </w:r>
    </w:p>
    <w:p>
      <w:pPr>
        <w:pStyle w:val="Normal"/>
        <w:numPr>
          <w:ilvl w:val="1"/>
          <w:numId w:val="8"/>
        </w:numPr>
        <w:tabs>
          <w:tab w:val="clear" w:pos="1296"/>
          <w:tab w:val="left" w:pos="0" w:leader="none"/>
          <w:tab w:val="left" w:pos="426" w:leader="none"/>
          <w:tab w:val="left" w:pos="709" w:leader="none"/>
          <w:tab w:val="left" w:pos="993" w:leader="none"/>
          <w:tab w:val="left" w:pos="1701" w:leader="none"/>
          <w:tab w:val="left" w:pos="2127" w:leader="none"/>
          <w:tab w:val="left" w:pos="2410" w:leader="none"/>
        </w:tabs>
        <w:spacing w:lineRule="auto" w:line="276" w:before="0" w:after="160"/>
        <w:ind w:hanging="0" w:left="0"/>
        <w:jc w:val="both"/>
        <w:textAlignment w:val="baseline"/>
        <w:rPr>
          <w:color w:themeColor="text1" w:val="000000"/>
          <w:lang w:eastAsia="lt-LT"/>
        </w:rPr>
      </w:pPr>
      <w:r>
        <w:rPr>
          <w:color w:themeColor="text1" w:val="000000"/>
          <w:lang w:eastAsia="lt-LT"/>
        </w:rPr>
        <w:t>Išaiškinti motyvaciją dalyvauti mokymuose (vykdomas motyvacinis interviu, taip pat pagal poreikį vertinami dokumentai apie motyvaciją ir profesinę patirtį ir kt.); </w:t>
      </w:r>
    </w:p>
    <w:p>
      <w:pPr>
        <w:pStyle w:val="Normal"/>
        <w:numPr>
          <w:ilvl w:val="1"/>
          <w:numId w:val="8"/>
        </w:numPr>
        <w:tabs>
          <w:tab w:val="clear" w:pos="1296"/>
          <w:tab w:val="left" w:pos="0" w:leader="none"/>
          <w:tab w:val="left" w:pos="426" w:leader="none"/>
          <w:tab w:val="left" w:pos="709" w:leader="none"/>
          <w:tab w:val="left" w:pos="993" w:leader="none"/>
          <w:tab w:val="left" w:pos="1701" w:leader="none"/>
          <w:tab w:val="left" w:pos="2127" w:leader="none"/>
          <w:tab w:val="left" w:pos="2410" w:leader="none"/>
        </w:tabs>
        <w:spacing w:lineRule="auto" w:line="276" w:before="0" w:after="160"/>
        <w:ind w:hanging="0" w:left="0"/>
        <w:jc w:val="both"/>
        <w:textAlignment w:val="baseline"/>
        <w:rPr>
          <w:szCs w:val="24"/>
          <w:lang w:eastAsia="lt-LT"/>
        </w:rPr>
      </w:pPr>
      <w:r>
        <w:rPr>
          <w:szCs w:val="24"/>
          <w:lang w:eastAsia="lt-LT"/>
        </w:rPr>
        <w:t>darbo patirtis ne mažesnė nei 1 m. savižudybių intervencijos srityje.</w:t>
      </w:r>
    </w:p>
    <w:p>
      <w:pPr>
        <w:pStyle w:val="Normal"/>
        <w:numPr>
          <w:ilvl w:val="0"/>
          <w:numId w:val="6"/>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szCs w:val="24"/>
          <w:lang w:eastAsia="lt-LT"/>
        </w:rPr>
      </w:pPr>
      <w:r>
        <w:rPr>
          <w:szCs w:val="24"/>
          <w:lang w:eastAsia="lt-LT"/>
        </w:rPr>
        <w:t>ASSIP programoje gali dalyvauti tik tie dalyviai, kurių darbdaviai (ASPĮ, kuriose dirba mokymų dalyvis, įgalioti atstovai) tiekėjui bei Lietuvos Respublikos sveikatos apsaugos ministerijai pateikia: </w:t>
      </w:r>
    </w:p>
    <w:p>
      <w:pPr>
        <w:pStyle w:val="Normal"/>
        <w:numPr>
          <w:ilvl w:val="1"/>
          <w:numId w:val="6"/>
        </w:numPr>
        <w:tabs>
          <w:tab w:val="clear" w:pos="1296"/>
          <w:tab w:val="left" w:pos="0" w:leader="none"/>
          <w:tab w:val="left" w:pos="426" w:leader="none"/>
          <w:tab w:val="left" w:pos="709" w:leader="none"/>
          <w:tab w:val="left" w:pos="993" w:leader="none"/>
          <w:tab w:val="left" w:pos="1134" w:leader="none"/>
          <w:tab w:val="left" w:pos="1701" w:leader="none"/>
          <w:tab w:val="left" w:pos="2552" w:leader="none"/>
        </w:tabs>
        <w:spacing w:lineRule="auto" w:line="276" w:before="0" w:after="160"/>
        <w:ind w:hanging="0" w:left="0"/>
        <w:jc w:val="both"/>
        <w:textAlignment w:val="baseline"/>
        <w:rPr>
          <w:szCs w:val="24"/>
          <w:lang w:eastAsia="lt-LT"/>
        </w:rPr>
      </w:pPr>
      <w:r>
        <w:rPr>
          <w:szCs w:val="24"/>
          <w:lang w:eastAsia="lt-LT"/>
        </w:rPr>
        <w:t xml:space="preserve"> </w:t>
      </w:r>
      <w:r>
        <w:rPr>
          <w:szCs w:val="24"/>
          <w:lang w:eastAsia="lt-LT"/>
        </w:rPr>
        <w:t>rekomendaciją dėl mokymų dalyvio pademonstruotų kompetencijų ir motyvacijos savižudybių intervencijų teikimo srityje, taip pat pademonstruotos motyvacijos tęsti specialisto veiklą toje ASPĮ, užtikrinant įgytos papildomos kvalifikacijos panaudojimą praktikoje; </w:t>
      </w:r>
    </w:p>
    <w:p>
      <w:pPr>
        <w:pStyle w:val="Normal"/>
        <w:numPr>
          <w:ilvl w:val="1"/>
          <w:numId w:val="6"/>
        </w:numPr>
        <w:tabs>
          <w:tab w:val="clear" w:pos="1296"/>
          <w:tab w:val="left" w:pos="0" w:leader="none"/>
          <w:tab w:val="left" w:pos="426" w:leader="none"/>
          <w:tab w:val="left" w:pos="709" w:leader="none"/>
          <w:tab w:val="left" w:pos="993" w:leader="none"/>
          <w:tab w:val="left" w:pos="1134" w:leader="none"/>
          <w:tab w:val="left" w:pos="1560" w:leader="none"/>
          <w:tab w:val="left" w:pos="1843" w:leader="none"/>
          <w:tab w:val="left" w:pos="2694" w:leader="none"/>
        </w:tabs>
        <w:spacing w:lineRule="auto" w:line="276" w:before="0" w:after="160"/>
        <w:ind w:hanging="0" w:left="0"/>
        <w:jc w:val="both"/>
        <w:textAlignment w:val="baseline"/>
        <w:rPr>
          <w:szCs w:val="24"/>
          <w:lang w:eastAsia="lt-LT"/>
        </w:rPr>
      </w:pPr>
      <w:r>
        <w:rPr>
          <w:szCs w:val="24"/>
          <w:lang w:eastAsia="lt-LT"/>
        </w:rPr>
        <w:t>įsipareigojimą užtikrinti tęstinį ASSIP paslaugos teikimą ASPĮ, sudaryti organizacines ir technines sąlygas ASSIP paslaugų teikimui (filmavimo įranga, vidaus tvarka dėl asmens duomenų tvarkymo, ASSIP terapeutui sąlygų sudarymas savo darbo laiku teikti ASSIP intervenciją kaip pirminę ir prioritetinę specialisto funkciją, ir kt.) </w:t>
      </w:r>
    </w:p>
    <w:p>
      <w:pPr>
        <w:pStyle w:val="Normal"/>
        <w:tabs>
          <w:tab w:val="clear" w:pos="1296"/>
          <w:tab w:val="left" w:pos="0" w:leader="none"/>
          <w:tab w:val="left" w:pos="426" w:leader="none"/>
          <w:tab w:val="left" w:pos="709" w:leader="none"/>
          <w:tab w:val="left" w:pos="993" w:leader="none"/>
        </w:tabs>
        <w:jc w:val="both"/>
        <w:textAlignment w:val="baseline"/>
        <w:rPr>
          <w:rFonts w:ascii="Segoe UI" w:hAnsi="Segoe UI" w:cs="Segoe UI"/>
          <w:sz w:val="18"/>
          <w:szCs w:val="18"/>
          <w:lang w:eastAsia="lt-LT"/>
        </w:rPr>
      </w:pPr>
      <w:r>
        <w:rPr>
          <w:szCs w:val="24"/>
          <w:lang w:eastAsia="lt-LT"/>
        </w:rPr>
        <w:t> </w:t>
      </w:r>
    </w:p>
    <w:p>
      <w:pPr>
        <w:pStyle w:val="Normal"/>
        <w:tabs>
          <w:tab w:val="clear" w:pos="1296"/>
          <w:tab w:val="left" w:pos="0" w:leader="none"/>
          <w:tab w:val="left" w:pos="426" w:leader="none"/>
          <w:tab w:val="left" w:pos="709" w:leader="none"/>
          <w:tab w:val="left" w:pos="993" w:leader="none"/>
        </w:tabs>
        <w:textAlignment w:val="baseline"/>
        <w:rPr>
          <w:b/>
          <w:bCs/>
          <w:szCs w:val="24"/>
          <w:lang w:eastAsia="lt-LT"/>
        </w:rPr>
      </w:pPr>
      <w:r>
        <w:rPr>
          <w:b/>
          <w:bCs/>
          <w:szCs w:val="24"/>
          <w:lang w:eastAsia="lt-LT"/>
        </w:rPr>
      </w:r>
    </w:p>
    <w:p>
      <w:pPr>
        <w:pStyle w:val="Normal"/>
        <w:tabs>
          <w:tab w:val="clear" w:pos="1296"/>
          <w:tab w:val="left" w:pos="0" w:leader="none"/>
          <w:tab w:val="left" w:pos="426" w:leader="none"/>
          <w:tab w:val="left" w:pos="709" w:leader="none"/>
          <w:tab w:val="left" w:pos="993" w:leader="none"/>
        </w:tabs>
        <w:jc w:val="center"/>
        <w:textAlignment w:val="baseline"/>
        <w:rPr>
          <w:szCs w:val="24"/>
          <w:lang w:eastAsia="lt-LT"/>
        </w:rPr>
      </w:pPr>
      <w:r>
        <w:rPr>
          <w:b/>
          <w:bCs/>
          <w:szCs w:val="24"/>
          <w:lang w:eastAsia="lt-LT"/>
        </w:rPr>
        <w:t>IV. REIKALAVIMAI MAITINIMO PASLAUGOMS ORGANIZUOTI</w:t>
      </w:r>
      <w:r>
        <w:rPr>
          <w:szCs w:val="24"/>
          <w:lang w:eastAsia="lt-LT"/>
        </w:rPr>
        <w:t> </w:t>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rFonts w:cs="Segoe UI" w:ascii="Segoe UI" w:hAnsi="Segoe UI"/>
          <w:sz w:val="18"/>
          <w:szCs w:val="18"/>
          <w:lang w:eastAsia="lt-LT"/>
        </w:rPr>
      </w:r>
    </w:p>
    <w:p>
      <w:pPr>
        <w:pStyle w:val="Normal"/>
        <w:numPr>
          <w:ilvl w:val="0"/>
          <w:numId w:val="6"/>
        </w:numPr>
        <w:tabs>
          <w:tab w:val="clear" w:pos="1296"/>
          <w:tab w:val="left" w:pos="0" w:leader="none"/>
          <w:tab w:val="left" w:pos="426" w:leader="none"/>
          <w:tab w:val="left" w:pos="709" w:leader="none"/>
          <w:tab w:val="left" w:pos="993" w:leader="none"/>
          <w:tab w:val="left" w:pos="1276" w:leader="none"/>
        </w:tabs>
        <w:spacing w:lineRule="auto" w:line="276" w:before="0" w:after="160"/>
        <w:ind w:hanging="0" w:left="0"/>
        <w:contextualSpacing/>
        <w:jc w:val="both"/>
        <w:textAlignment w:val="baseline"/>
        <w:rPr>
          <w:szCs w:val="24"/>
          <w:lang w:eastAsia="lt-LT"/>
        </w:rPr>
      </w:pPr>
      <w:r>
        <w:rPr>
          <w:szCs w:val="24"/>
          <w:lang w:eastAsia="lt-LT"/>
        </w:rPr>
        <w:t>Vykdant 2 dienų mokymus iš eilės: </w:t>
      </w:r>
    </w:p>
    <w:p>
      <w:pPr>
        <w:pStyle w:val="Normal"/>
        <w:numPr>
          <w:ilvl w:val="1"/>
          <w:numId w:val="6"/>
        </w:numPr>
        <w:tabs>
          <w:tab w:val="clear" w:pos="1296"/>
          <w:tab w:val="left" w:pos="0" w:leader="none"/>
          <w:tab w:val="left" w:pos="426" w:leader="none"/>
          <w:tab w:val="left" w:pos="709" w:leader="none"/>
          <w:tab w:val="left" w:pos="993" w:leader="none"/>
          <w:tab w:val="left" w:pos="1276" w:leader="none"/>
          <w:tab w:val="left" w:pos="1560" w:leader="none"/>
        </w:tabs>
        <w:spacing w:lineRule="auto" w:line="276" w:before="0" w:after="160"/>
        <w:ind w:hanging="0" w:left="0"/>
        <w:contextualSpacing/>
        <w:jc w:val="both"/>
        <w:textAlignment w:val="baseline"/>
        <w:rPr>
          <w:szCs w:val="24"/>
          <w:lang w:eastAsia="lt-LT"/>
        </w:rPr>
      </w:pPr>
      <w:r>
        <w:rPr>
          <w:szCs w:val="24"/>
          <w:lang w:eastAsia="lt-LT"/>
        </w:rPr>
        <w:t>Turi būti suorganizuota po 1 kavos pertrauką kiekvieną mokymų dieną;</w:t>
      </w:r>
    </w:p>
    <w:p>
      <w:pPr>
        <w:pStyle w:val="Normal"/>
        <w:numPr>
          <w:ilvl w:val="1"/>
          <w:numId w:val="6"/>
        </w:numPr>
        <w:tabs>
          <w:tab w:val="clear" w:pos="1296"/>
          <w:tab w:val="left" w:pos="0" w:leader="none"/>
          <w:tab w:val="left" w:pos="426" w:leader="none"/>
          <w:tab w:val="left" w:pos="709" w:leader="none"/>
          <w:tab w:val="left" w:pos="993" w:leader="none"/>
          <w:tab w:val="left" w:pos="1276" w:leader="none"/>
          <w:tab w:val="left" w:pos="1560" w:leader="none"/>
        </w:tabs>
        <w:spacing w:lineRule="auto" w:line="276" w:before="0" w:after="160"/>
        <w:ind w:hanging="0" w:left="0"/>
        <w:contextualSpacing/>
        <w:jc w:val="both"/>
        <w:textAlignment w:val="baseline"/>
        <w:rPr>
          <w:szCs w:val="24"/>
          <w:lang w:eastAsia="lt-LT"/>
        </w:rPr>
      </w:pPr>
      <w:r>
        <w:rPr>
          <w:szCs w:val="24"/>
          <w:lang w:eastAsia="lt-LT"/>
        </w:rPr>
        <w:t>Kavos pertraukos metu turi būti sudaryta galimybė dalyviams rinktis arbatą arba kavą su priedais, vandenį su citrina, vieno kąsnio sumuštinius, sausainius, desertinius pyragaičius;</w:t>
      </w:r>
    </w:p>
    <w:p>
      <w:pPr>
        <w:pStyle w:val="Normal"/>
        <w:numPr>
          <w:ilvl w:val="1"/>
          <w:numId w:val="6"/>
        </w:numPr>
        <w:tabs>
          <w:tab w:val="clear" w:pos="1296"/>
          <w:tab w:val="left" w:pos="0" w:leader="none"/>
          <w:tab w:val="left" w:pos="426" w:leader="none"/>
          <w:tab w:val="left" w:pos="709" w:leader="none"/>
          <w:tab w:val="left" w:pos="993" w:leader="none"/>
          <w:tab w:val="left" w:pos="1276" w:leader="none"/>
          <w:tab w:val="left" w:pos="1560" w:leader="none"/>
        </w:tabs>
        <w:spacing w:lineRule="auto" w:line="276" w:before="0" w:after="160"/>
        <w:ind w:hanging="0" w:left="0"/>
        <w:contextualSpacing/>
        <w:jc w:val="both"/>
        <w:textAlignment w:val="baseline"/>
        <w:rPr>
          <w:szCs w:val="24"/>
          <w:lang w:eastAsia="lt-LT"/>
        </w:rPr>
      </w:pPr>
      <w:r>
        <w:rPr>
          <w:szCs w:val="24"/>
          <w:lang w:eastAsia="lt-LT"/>
        </w:rPr>
        <w:t>Kavos pertraukos turi būti ruošiamos tame pačiame pastate, kuriame vyksta mokymai;</w:t>
      </w:r>
    </w:p>
    <w:p>
      <w:pPr>
        <w:pStyle w:val="Normal"/>
        <w:numPr>
          <w:ilvl w:val="1"/>
          <w:numId w:val="6"/>
        </w:numPr>
        <w:tabs>
          <w:tab w:val="clear" w:pos="1296"/>
          <w:tab w:val="left" w:pos="0" w:leader="none"/>
          <w:tab w:val="left" w:pos="426" w:leader="none"/>
          <w:tab w:val="left" w:pos="709" w:leader="none"/>
          <w:tab w:val="left" w:pos="993" w:leader="none"/>
          <w:tab w:val="left" w:pos="1276" w:leader="none"/>
          <w:tab w:val="left" w:pos="1560" w:leader="none"/>
        </w:tabs>
        <w:spacing w:lineRule="auto" w:line="276" w:before="0" w:after="160"/>
        <w:ind w:hanging="0" w:left="0"/>
        <w:contextualSpacing/>
        <w:jc w:val="both"/>
        <w:textAlignment w:val="baseline"/>
        <w:rPr>
          <w:szCs w:val="24"/>
          <w:lang w:eastAsia="lt-LT"/>
        </w:rPr>
      </w:pPr>
      <w:r>
        <w:rPr>
          <w:szCs w:val="24"/>
          <w:lang w:eastAsia="lt-LT"/>
        </w:rPr>
        <w:t>Turi būti suorganizuoti 1 pietūs mokymų dalyviams kiekvieną mokymų dieną;</w:t>
      </w:r>
    </w:p>
    <w:p>
      <w:pPr>
        <w:pStyle w:val="Normal"/>
        <w:numPr>
          <w:ilvl w:val="1"/>
          <w:numId w:val="6"/>
        </w:numPr>
        <w:tabs>
          <w:tab w:val="clear" w:pos="1296"/>
          <w:tab w:val="left" w:pos="0" w:leader="none"/>
          <w:tab w:val="left" w:pos="426" w:leader="none"/>
          <w:tab w:val="left" w:pos="709" w:leader="none"/>
          <w:tab w:val="left" w:pos="993" w:leader="none"/>
          <w:tab w:val="left" w:pos="1276" w:leader="none"/>
          <w:tab w:val="left" w:pos="1560" w:leader="none"/>
        </w:tabs>
        <w:spacing w:lineRule="auto" w:line="276" w:before="0" w:after="160"/>
        <w:ind w:hanging="0" w:left="0"/>
        <w:contextualSpacing/>
        <w:jc w:val="both"/>
        <w:textAlignment w:val="baseline"/>
        <w:rPr>
          <w:szCs w:val="24"/>
          <w:lang w:eastAsia="lt-LT"/>
        </w:rPr>
      </w:pPr>
      <w:r>
        <w:rPr>
          <w:szCs w:val="24"/>
          <w:lang w:eastAsia="lt-LT"/>
        </w:rPr>
        <w:t xml:space="preserve">Pietus turi sudaryti: pirmas patiekalas (sriuba/salotos/užkandis), antras patiekalas (karštasis mėsos/žuvies/daržovių patiekalas), gėrimas (sultys/mineralinis vanduo/ vanduo su citrina); </w:t>
      </w:r>
    </w:p>
    <w:p>
      <w:pPr>
        <w:pStyle w:val="Normal"/>
        <w:numPr>
          <w:ilvl w:val="1"/>
          <w:numId w:val="6"/>
        </w:numPr>
        <w:tabs>
          <w:tab w:val="clear" w:pos="1296"/>
          <w:tab w:val="left" w:pos="0" w:leader="none"/>
          <w:tab w:val="left" w:pos="426" w:leader="none"/>
          <w:tab w:val="left" w:pos="709" w:leader="none"/>
          <w:tab w:val="left" w:pos="993" w:leader="none"/>
          <w:tab w:val="left" w:pos="1276" w:leader="none"/>
          <w:tab w:val="left" w:pos="1560" w:leader="none"/>
        </w:tabs>
        <w:spacing w:lineRule="auto" w:line="276" w:before="0" w:after="160"/>
        <w:ind w:hanging="0" w:left="0"/>
        <w:contextualSpacing/>
        <w:jc w:val="both"/>
        <w:textAlignment w:val="baseline"/>
        <w:rPr>
          <w:szCs w:val="24"/>
          <w:lang w:eastAsia="lt-LT"/>
        </w:rPr>
      </w:pPr>
      <w:r>
        <w:rPr>
          <w:szCs w:val="24"/>
          <w:lang w:eastAsia="lt-LT"/>
        </w:rPr>
        <w:t>Maitinimo paslaugos dalyviams turi būti suteiktos atskiroje patalpoje (ne toje pačioje, kur vyksta mokymai), tame pačiame pastate arba šalia pastato (iki 500 m atstumu), kuriame vyksta mokymai;</w:t>
      </w:r>
    </w:p>
    <w:p>
      <w:pPr>
        <w:pStyle w:val="Normal"/>
        <w:numPr>
          <w:ilvl w:val="1"/>
          <w:numId w:val="6"/>
        </w:numPr>
        <w:tabs>
          <w:tab w:val="clear" w:pos="1296"/>
          <w:tab w:val="left" w:pos="0" w:leader="none"/>
          <w:tab w:val="left" w:pos="426" w:leader="none"/>
          <w:tab w:val="left" w:pos="709" w:leader="none"/>
          <w:tab w:val="left" w:pos="993" w:leader="none"/>
          <w:tab w:val="left" w:pos="1276" w:leader="none"/>
          <w:tab w:val="left" w:pos="1560" w:leader="none"/>
        </w:tabs>
        <w:spacing w:lineRule="auto" w:line="276" w:before="0" w:after="160"/>
        <w:ind w:hanging="0" w:left="0"/>
        <w:contextualSpacing/>
        <w:jc w:val="both"/>
        <w:textAlignment w:val="baseline"/>
        <w:rPr>
          <w:szCs w:val="24"/>
          <w:lang w:eastAsia="lt-LT"/>
        </w:rPr>
      </w:pPr>
      <w:r>
        <w:rPr>
          <w:szCs w:val="24"/>
          <w:lang w:eastAsia="lt-LT"/>
        </w:rPr>
        <w:t>Tiekėjas turi teikti maitinimo paslaugas visiems dalyviams vienu metu. Dalyviams turi būti sudaryta galimybė pavalgyti per 1 valandą.</w:t>
      </w:r>
    </w:p>
    <w:p>
      <w:pPr>
        <w:pStyle w:val="Normal"/>
        <w:tabs>
          <w:tab w:val="clear" w:pos="1296"/>
          <w:tab w:val="left" w:pos="0" w:leader="none"/>
          <w:tab w:val="left" w:pos="426" w:leader="none"/>
          <w:tab w:val="left" w:pos="709" w:leader="none"/>
          <w:tab w:val="left" w:pos="993" w:leader="none"/>
        </w:tabs>
        <w:jc w:val="center"/>
        <w:textAlignment w:val="baseline"/>
        <w:rPr>
          <w:b/>
          <w:bCs/>
          <w:szCs w:val="24"/>
          <w:lang w:eastAsia="lt-LT"/>
        </w:rPr>
      </w:pPr>
      <w:r>
        <w:rPr>
          <w:b/>
          <w:bCs/>
          <w:szCs w:val="24"/>
          <w:lang w:eastAsia="lt-LT"/>
        </w:rPr>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b/>
          <w:bCs/>
          <w:szCs w:val="24"/>
          <w:lang w:eastAsia="lt-LT"/>
        </w:rPr>
        <w:t>V SKYRIUS</w:t>
      </w:r>
      <w:r>
        <w:rPr>
          <w:szCs w:val="24"/>
          <w:lang w:eastAsia="lt-LT"/>
        </w:rPr>
        <w:t> </w:t>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b/>
          <w:bCs/>
          <w:szCs w:val="24"/>
          <w:lang w:eastAsia="lt-LT"/>
        </w:rPr>
        <w:t>BENDRI REIKALAVIMAI PIRKIMUI</w:t>
      </w:r>
      <w:r>
        <w:rPr>
          <w:szCs w:val="24"/>
          <w:lang w:eastAsia="lt-LT"/>
        </w:rPr>
        <w:t> </w:t>
      </w:r>
    </w:p>
    <w:p>
      <w:pPr>
        <w:pStyle w:val="Normal"/>
        <w:tabs>
          <w:tab w:val="clear" w:pos="1296"/>
          <w:tab w:val="left" w:pos="0" w:leader="none"/>
          <w:tab w:val="left" w:pos="426" w:leader="none"/>
          <w:tab w:val="left" w:pos="709" w:leader="none"/>
          <w:tab w:val="left" w:pos="993" w:leader="none"/>
        </w:tabs>
        <w:jc w:val="center"/>
        <w:textAlignment w:val="baseline"/>
        <w:rPr>
          <w:rFonts w:ascii="Segoe UI" w:hAnsi="Segoe UI" w:cs="Segoe UI"/>
          <w:sz w:val="18"/>
          <w:szCs w:val="18"/>
          <w:lang w:eastAsia="lt-LT"/>
        </w:rPr>
      </w:pPr>
      <w:r>
        <w:rPr>
          <w:szCs w:val="24"/>
          <w:lang w:eastAsia="lt-LT"/>
        </w:rPr>
        <w:t> </w:t>
      </w:r>
    </w:p>
    <w:p>
      <w:pPr>
        <w:pStyle w:val="Normal"/>
        <w:numPr>
          <w:ilvl w:val="0"/>
          <w:numId w:val="5"/>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szCs w:val="24"/>
          <w:lang w:eastAsia="lt-LT"/>
        </w:rPr>
      </w:pPr>
      <w:r>
        <w:rPr>
          <w:szCs w:val="24"/>
          <w:lang w:eastAsia="lt-LT"/>
        </w:rPr>
        <w:t>Teikėjas, teikdamas paslaugas, privalo laikytis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pPr>
        <w:pStyle w:val="Normal"/>
        <w:numPr>
          <w:ilvl w:val="0"/>
          <w:numId w:val="5"/>
        </w:numPr>
        <w:tabs>
          <w:tab w:val="clear" w:pos="1296"/>
          <w:tab w:val="left" w:pos="0" w:leader="none"/>
          <w:tab w:val="left" w:pos="426" w:leader="none"/>
          <w:tab w:val="left" w:pos="709" w:leader="none"/>
          <w:tab w:val="left" w:pos="993" w:leader="none"/>
          <w:tab w:val="left" w:pos="1134" w:leader="none"/>
        </w:tabs>
        <w:spacing w:lineRule="auto" w:line="276" w:before="0" w:after="160"/>
        <w:ind w:hanging="0" w:left="0"/>
        <w:jc w:val="both"/>
        <w:rPr>
          <w:rFonts w:eastAsia="" w:eastAsiaTheme="minorEastAsia"/>
          <w:szCs w:val="24"/>
          <w:lang w:eastAsia="lt-LT"/>
        </w:rPr>
      </w:pPr>
      <w:r>
        <w:rPr>
          <w:szCs w:val="24"/>
          <w:lang w:eastAsia="lt-LT"/>
        </w:rPr>
        <w:t xml:space="preserve"> </w:t>
      </w:r>
      <w:r>
        <w:rPr>
          <w:rFonts w:eastAsia="" w:eastAsiaTheme="minorEastAsia"/>
          <w:szCs w:val="24"/>
          <w:lang w:eastAsia="lt-LT"/>
        </w:rPr>
        <w:t>Paslaugų teikėjas privalo turėti galimybę įgyvendinti tinkamas organizacines ir tinkamas asmens duomenų saugumo priemones. Paslaugų teikėjas privalės pasirašyti asmens duomenų tvarkymo sutartį dėl Perkančios organizacijos vardu ir pagal jos nurodymus atliekamo mokymų dalyvių asmens duomenų tvarkymo.</w:t>
      </w:r>
    </w:p>
    <w:p>
      <w:pPr>
        <w:pStyle w:val="Normal"/>
        <w:numPr>
          <w:ilvl w:val="0"/>
          <w:numId w:val="5"/>
        </w:numPr>
        <w:tabs>
          <w:tab w:val="clear" w:pos="1296"/>
          <w:tab w:val="left" w:pos="0" w:leader="none"/>
          <w:tab w:val="left" w:pos="426" w:leader="none"/>
          <w:tab w:val="left" w:pos="709" w:leader="none"/>
          <w:tab w:val="left" w:pos="851" w:leader="none"/>
          <w:tab w:val="left" w:pos="993" w:leader="none"/>
        </w:tabs>
        <w:spacing w:lineRule="auto" w:line="276" w:before="0" w:after="160"/>
        <w:ind w:hanging="0" w:left="0"/>
        <w:jc w:val="both"/>
        <w:textAlignment w:val="baseline"/>
        <w:rPr>
          <w:szCs w:val="24"/>
          <w:lang w:eastAsia="lt-LT"/>
        </w:rPr>
      </w:pPr>
      <w:r>
        <w:rPr>
          <w:szCs w:val="24"/>
          <w:lang w:eastAsia="lt-LT"/>
        </w:rPr>
        <w:t>Paslaugų teikėjas turi užtikrinti nenutrūkstamą Paslaugų teikimo sutarties vykdymą, gerą veiklos organizavimą, efektyvų paslaugų įgyvendinimą laiku ir aktyviai bendradarbiauti su Perkančiosios organizacijos bei ministerijos paskirtais darbuotojais. </w:t>
      </w:r>
    </w:p>
    <w:p>
      <w:pPr>
        <w:pStyle w:val="Normal"/>
        <w:numPr>
          <w:ilvl w:val="0"/>
          <w:numId w:val="5"/>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szCs w:val="24"/>
          <w:lang w:eastAsia="lt-LT"/>
        </w:rPr>
      </w:pPr>
      <w:r>
        <w:rPr>
          <w:rFonts w:eastAsia="" w:eastAsiaTheme="minorEastAsia"/>
          <w:szCs w:val="24"/>
          <w:lang w:eastAsia="lt-LT"/>
        </w:rPr>
        <w:t>Lektoriaus (instruktoriaus)</w:t>
      </w:r>
      <w:r>
        <w:rPr>
          <w:szCs w:val="24"/>
          <w:lang w:eastAsia="lt-LT"/>
        </w:rPr>
        <w:t xml:space="preserve"> teikiamos paslaugos privalo būti kokybiškos ir profesionalios, atitinkančios geriausius, visuotinai pripažįstamus profesinius, techninius standartus ir praktiką, bei suteiktos panaudojant visus reikiamus įgūdžius ir žinias. </w:t>
      </w:r>
    </w:p>
    <w:p>
      <w:pPr>
        <w:pStyle w:val="Normal"/>
        <w:numPr>
          <w:ilvl w:val="0"/>
          <w:numId w:val="5"/>
        </w:numPr>
        <w:tabs>
          <w:tab w:val="clear" w:pos="1296"/>
          <w:tab w:val="left" w:pos="0" w:leader="none"/>
          <w:tab w:val="left" w:pos="426" w:leader="none"/>
          <w:tab w:val="left" w:pos="709" w:leader="none"/>
          <w:tab w:val="left" w:pos="993" w:leader="none"/>
        </w:tabs>
        <w:spacing w:lineRule="auto" w:line="276" w:before="0" w:after="160"/>
        <w:ind w:hanging="0" w:left="0"/>
        <w:jc w:val="both"/>
        <w:textAlignment w:val="baseline"/>
        <w:rPr>
          <w:szCs w:val="24"/>
          <w:lang w:eastAsia="lt-LT"/>
        </w:rPr>
      </w:pPr>
      <w:r>
        <w:rPr>
          <w:szCs w:val="24"/>
          <w:lang w:eastAsia="lt-LT"/>
        </w:rPr>
        <w:t>Tiekėjas turi paskirti atsakingą asmenį, į kurį Perkančioji organizacija galėtų kreiptis dėl teikiamų paslaugų ir (arba) mokymų metu iškilus problemoms dėl naudojamos įrangos ir (arba) kitų nenumatytų techninių problemų. </w:t>
      </w:r>
    </w:p>
    <w:p>
      <w:pPr>
        <w:pStyle w:val="Normal"/>
        <w:numPr>
          <w:ilvl w:val="0"/>
          <w:numId w:val="5"/>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szCs w:val="24"/>
          <w:lang w:eastAsia="lt-LT"/>
        </w:rPr>
      </w:pPr>
      <w:r>
        <w:rPr>
          <w:szCs w:val="24"/>
          <w:lang w:eastAsia="lt-LT"/>
        </w:rPr>
        <w:t>Po ASSIP mokymų Tiekėjas Perkančiai organizacijai pateikia paslaugų įvykdymo ataskaitą, kurią sudaro: kontaktinių mokymų dalyvių sąrašas, nuotolinių Supervizijų prisijungusių dalyvių sąrašas; mokymo knygų pirkimo sąskaita, mokymų mokomoji (dalijamoji) medžiaga; 11.2 punkte nurodytus įstaigų įsipareigojimus; mokymų kokybės vertinimo anketos; mokymų kokybės vertinimo apibendrinimas, apibendrinta veiklos ataskaita (paslaugų Teikėjo refleksijos, pastebėjimai, pasiūlymai). </w:t>
      </w:r>
    </w:p>
    <w:p>
      <w:pPr>
        <w:pStyle w:val="Normal"/>
        <w:numPr>
          <w:ilvl w:val="0"/>
          <w:numId w:val="5"/>
        </w:numPr>
        <w:tabs>
          <w:tab w:val="clear" w:pos="1296"/>
          <w:tab w:val="left" w:pos="0" w:leader="none"/>
          <w:tab w:val="left" w:pos="426" w:leader="none"/>
          <w:tab w:val="left" w:pos="709" w:leader="none"/>
          <w:tab w:val="left" w:pos="993" w:leader="none"/>
        </w:tabs>
        <w:spacing w:lineRule="auto" w:line="276" w:before="0" w:after="160"/>
        <w:ind w:hanging="0" w:left="0"/>
        <w:contextualSpacing/>
        <w:jc w:val="both"/>
        <w:textAlignment w:val="baseline"/>
        <w:rPr>
          <w:szCs w:val="24"/>
          <w:lang w:eastAsia="lt-LT"/>
        </w:rPr>
      </w:pPr>
      <w:r>
        <w:rPr>
          <w:szCs w:val="24"/>
          <w:lang w:eastAsia="lt-LT"/>
        </w:rPr>
        <w:t xml:space="preserve">Paslaugų pabaiga laikoma paslaugų perdavimo – priėmimo akto ir sąskaitos faktūros pateikimo Perkančiajai organizacijai diena. </w:t>
      </w:r>
    </w:p>
    <w:p>
      <w:pPr>
        <w:pStyle w:val="Normal"/>
        <w:numPr>
          <w:ilvl w:val="0"/>
          <w:numId w:val="5"/>
        </w:numPr>
        <w:tabs>
          <w:tab w:val="clear" w:pos="1296"/>
          <w:tab w:val="left" w:pos="0" w:leader="none"/>
          <w:tab w:val="left" w:pos="426" w:leader="none"/>
          <w:tab w:val="left" w:pos="709" w:leader="none"/>
          <w:tab w:val="left" w:pos="993" w:leader="none"/>
        </w:tabs>
        <w:spacing w:lineRule="auto" w:line="276" w:before="0" w:after="160"/>
        <w:ind w:hanging="0" w:left="0"/>
        <w:jc w:val="both"/>
        <w:textAlignment w:val="baseline"/>
        <w:rPr>
          <w:szCs w:val="24"/>
          <w:lang w:eastAsia="lt-LT"/>
        </w:rPr>
      </w:pPr>
      <w:r>
        <w:rPr>
          <w:szCs w:val="24"/>
          <w:lang w:eastAsia="lt-LT"/>
        </w:rPr>
        <w:t>Mokymų datos iš anksto derinamos su Perkančiąja organizacija. Tiekėjas likus ne daugiau kaip 1 savaitei iki pirmųjų mokymų pradžios pateikia Perkančiajai organizacijai mokymų grafiką ir prisijungimo kodą prie nuotolinio mokymo sistemos. Perkančioji organizacija per 3 (tris) darbo dienas suderina pateiktą grafiką arba pateikia motyvuotas pastabas. Sutarties vykdymo metu grafikas gali būti tikslinamas abiejų šalių susitarimu arba Perkančiosios organizacijos iniciatyva. Pasikeitus pateikto mokymų grafiko informacijai, visais atvejais apie pakeitimus Perkančioji organizacija turi būti informuota ne vėliau kaip prieš 10 (dešimt) kalendorinių dienų iki planuotos mokymų pradžios, pateikiant patikslintą mokymų grafiką. Išimtiniais ir pagrįstais atvejais apie mokymų grafiko pakeitimus Tiekėjas gali informuoti vėliau, bet suderinus su Perkančiąja organizacija. Tiekėjas atsakingas už tikslinės grupės informavimą apie mokymų grafiko pasikeitimus ir jos dalyvavimo mokymuose užtikrinimą. Mokymų grafiko nepateikimas nustatyta tvarka arba grafiko nesilaikymas yra esminis pažeidimas, už kurį gali būti taikomos Lietuvos Respublikos įstatymuose bei sutartyje numatytos pasekmės (prievolių įvykdymo užtikrinimo priemonės ir kt.). </w:t>
      </w:r>
    </w:p>
    <w:p>
      <w:pPr>
        <w:pStyle w:val="Normal"/>
        <w:numPr>
          <w:ilvl w:val="0"/>
          <w:numId w:val="5"/>
        </w:numPr>
        <w:tabs>
          <w:tab w:val="clear" w:pos="1296"/>
          <w:tab w:val="left" w:pos="0" w:leader="none"/>
          <w:tab w:val="left" w:pos="426" w:leader="none"/>
          <w:tab w:val="left" w:pos="709" w:leader="none"/>
          <w:tab w:val="left" w:pos="993" w:leader="none"/>
        </w:tabs>
        <w:spacing w:lineRule="auto" w:line="276" w:before="0" w:after="160"/>
        <w:ind w:hanging="0" w:left="0"/>
        <w:jc w:val="both"/>
        <w:textAlignment w:val="baseline"/>
        <w:rPr>
          <w:szCs w:val="24"/>
          <w:lang w:eastAsia="lt-LT"/>
        </w:rPr>
      </w:pPr>
      <w:r>
        <w:rPr>
          <w:szCs w:val="24"/>
          <w:lang w:eastAsia="lt-LT"/>
        </w:rPr>
        <w:t>Tiekėjas įsipareigoja mažinti popieriaus sunaudojimą, atsisakyti nebūtino dokumentų kopijavimo ir spausdinimo, rengiama dokumentacija, ataskaitos, paslaugų perdavimo– priėmimo aktai Perkančiajai organizacijai turi būti pateikti tik elektroniniu formatu, dokumentacija turi būti pasirašoma elektroniniu parašu. Teikdamas paslaugą tiekėjas turi dėti pastangas sunaudoti mažiau gamtos išteklių ir (arba) naudoti pakartotinai panaudotas ir (arba) perdirbtas medžiagas, sunaudoti mažiau elektros energijos. </w:t>
      </w:r>
    </w:p>
    <w:p>
      <w:pPr>
        <w:pStyle w:val="Normal"/>
        <w:numPr>
          <w:ilvl w:val="0"/>
          <w:numId w:val="5"/>
        </w:numPr>
        <w:tabs>
          <w:tab w:val="clear" w:pos="1296"/>
          <w:tab w:val="left" w:pos="0" w:leader="none"/>
          <w:tab w:val="left" w:pos="426" w:leader="none"/>
          <w:tab w:val="left" w:pos="709" w:leader="none"/>
          <w:tab w:val="left" w:pos="993" w:leader="none"/>
        </w:tabs>
        <w:spacing w:lineRule="auto" w:line="276" w:before="0" w:after="160"/>
        <w:ind w:hanging="0" w:left="0"/>
        <w:jc w:val="both"/>
        <w:rPr>
          <w:rFonts w:eastAsia="Calibri" w:cs="" w:asciiTheme="majorBidi" w:cstheme="majorBidi" w:hAnsiTheme="majorBidi"/>
          <w:szCs w:val="24"/>
        </w:rPr>
      </w:pPr>
      <w:r>
        <w:rPr>
          <w:rFonts w:eastAsia="Calibri" w:cs="" w:cstheme="majorBidi"/>
          <w:szCs w:val="24"/>
        </w:rPr>
        <w:t>Vadovaujantis Lietuvos Respublikos aplinkos ministro 2011 m. birželio 28 d. įsakymu Nr. D1-508 patvirtinto Aplinkos apsaugos kriterijų taikymo, vykdant žaliuosius pirkimus, tvarkos aprašo 4.4.3. papunkčiu, perkama nematerialaus pobūdžio (intelektinė) paslauga, nesusijusi su materialaus objekto sukūrimu, kurios teikimo metu nėra numatomas reikšmingas neigiamas poveikis aplinkai, nesukuriamas taršos šaltinis ir negeneruojamos atliekos.</w:t>
      </w:r>
    </w:p>
    <w:p>
      <w:pPr>
        <w:pStyle w:val="Normal"/>
        <w:tabs>
          <w:tab w:val="clear" w:pos="1296"/>
          <w:tab w:val="left" w:pos="0" w:leader="none"/>
          <w:tab w:val="left" w:pos="426" w:leader="none"/>
          <w:tab w:val="left" w:pos="709" w:leader="none"/>
          <w:tab w:val="left" w:pos="993" w:leader="none"/>
        </w:tabs>
        <w:textAlignment w:val="baseline"/>
        <w:rPr>
          <w:rFonts w:ascii="Segoe UI" w:hAnsi="Segoe UI" w:cs="Segoe UI"/>
          <w:sz w:val="18"/>
          <w:szCs w:val="18"/>
          <w:lang w:eastAsia="lt-LT"/>
        </w:rPr>
      </w:pPr>
      <w:r>
        <w:rPr>
          <w:rFonts w:cs="Segoe UI" w:ascii="Segoe UI" w:hAnsi="Segoe UI"/>
          <w:sz w:val="18"/>
          <w:szCs w:val="18"/>
          <w:lang w:eastAsia="lt-LT"/>
        </w:rPr>
      </w:r>
    </w:p>
    <w:p>
      <w:pPr>
        <w:pStyle w:val="Normal"/>
        <w:tabs>
          <w:tab w:val="clear" w:pos="1296"/>
          <w:tab w:val="left" w:pos="0" w:leader="none"/>
          <w:tab w:val="left" w:pos="426" w:leader="none"/>
          <w:tab w:val="left" w:pos="709" w:leader="none"/>
          <w:tab w:val="left" w:pos="993" w:leader="none"/>
        </w:tabs>
        <w:jc w:val="center"/>
        <w:rPr>
          <w:rFonts w:eastAsia="Calibri"/>
          <w:b/>
          <w:bCs/>
          <w:szCs w:val="24"/>
          <w:lang w:eastAsia="lt-LT"/>
        </w:rPr>
      </w:pPr>
      <w:r>
        <w:rPr>
          <w:rFonts w:eastAsia="Calibri"/>
          <w:b/>
          <w:bCs/>
          <w:szCs w:val="24"/>
          <w:lang w:eastAsia="lt-LT"/>
        </w:rPr>
        <w:t>VI. ASMENS DUOMENŲ TVARKYMAS</w:t>
      </w:r>
    </w:p>
    <w:p>
      <w:pPr>
        <w:pStyle w:val="Normal"/>
        <w:tabs>
          <w:tab w:val="clear" w:pos="1296"/>
          <w:tab w:val="left" w:pos="0" w:leader="none"/>
          <w:tab w:val="left" w:pos="426" w:leader="none"/>
          <w:tab w:val="left" w:pos="709" w:leader="none"/>
          <w:tab w:val="left" w:pos="993" w:leader="none"/>
        </w:tabs>
        <w:jc w:val="both"/>
        <w:rPr>
          <w:rFonts w:eastAsia="Calibri"/>
          <w:b/>
          <w:bCs/>
          <w:szCs w:val="24"/>
          <w:lang w:eastAsia="lt-LT"/>
        </w:rPr>
      </w:pPr>
      <w:r>
        <w:rPr>
          <w:rFonts w:eastAsia="Calibri"/>
          <w:b/>
          <w:bCs/>
          <w:szCs w:val="24"/>
          <w:lang w:eastAsia="lt-LT"/>
        </w:rPr>
      </w:r>
    </w:p>
    <w:p>
      <w:pPr>
        <w:pStyle w:val="Normal"/>
        <w:numPr>
          <w:ilvl w:val="0"/>
          <w:numId w:val="5"/>
        </w:numPr>
        <w:tabs>
          <w:tab w:val="clear" w:pos="1296"/>
          <w:tab w:val="left" w:pos="0" w:leader="none"/>
          <w:tab w:val="left" w:pos="284" w:leader="none"/>
          <w:tab w:val="left" w:pos="426" w:leader="none"/>
          <w:tab w:val="left" w:pos="709" w:leader="none"/>
          <w:tab w:val="left" w:pos="993" w:leader="none"/>
        </w:tabs>
        <w:spacing w:lineRule="auto" w:line="276" w:before="0" w:after="160"/>
        <w:ind w:hanging="0" w:left="0"/>
        <w:contextualSpacing/>
        <w:jc w:val="both"/>
        <w:rPr>
          <w:rFonts w:eastAsia="" w:eastAsiaTheme="minorEastAsia"/>
          <w:szCs w:val="24"/>
          <w:lang w:eastAsia="lt-LT"/>
        </w:rPr>
      </w:pPr>
      <w:r>
        <w:rPr>
          <w:rFonts w:eastAsia="" w:eastAsiaTheme="minorEastAsia"/>
          <w:szCs w:val="24"/>
          <w:lang w:eastAsia="lt-LT"/>
        </w:rPr>
        <w:t xml:space="preserve">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Normal"/>
        <w:numPr>
          <w:ilvl w:val="0"/>
          <w:numId w:val="5"/>
        </w:numPr>
        <w:tabs>
          <w:tab w:val="clear" w:pos="1296"/>
          <w:tab w:val="left" w:pos="0" w:leader="none"/>
          <w:tab w:val="left" w:pos="284" w:leader="none"/>
          <w:tab w:val="left" w:pos="426" w:leader="none"/>
          <w:tab w:val="left" w:pos="709" w:leader="none"/>
          <w:tab w:val="left" w:pos="993" w:leader="none"/>
        </w:tabs>
        <w:spacing w:lineRule="auto" w:line="276" w:before="0" w:after="160"/>
        <w:ind w:hanging="0" w:left="0"/>
        <w:contextualSpacing/>
        <w:jc w:val="both"/>
        <w:rPr>
          <w:rFonts w:eastAsia="" w:eastAsiaTheme="minorEastAsia"/>
          <w:szCs w:val="24"/>
          <w:lang w:eastAsia="lt-LT"/>
        </w:rPr>
      </w:pPr>
      <w:r>
        <w:rPr>
          <w:rFonts w:eastAsia="" w:eastAsiaTheme="minorEastAsia"/>
          <w:szCs w:val="24"/>
          <w:lang w:eastAsia="lt-LT"/>
        </w:rPr>
        <w:t>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pPr>
        <w:pStyle w:val="Normal"/>
        <w:numPr>
          <w:ilvl w:val="0"/>
          <w:numId w:val="5"/>
        </w:numPr>
        <w:tabs>
          <w:tab w:val="clear" w:pos="1296"/>
          <w:tab w:val="left" w:pos="0" w:leader="none"/>
          <w:tab w:val="left" w:pos="284" w:leader="none"/>
          <w:tab w:val="left" w:pos="426" w:leader="none"/>
          <w:tab w:val="left" w:pos="709" w:leader="none"/>
          <w:tab w:val="left" w:pos="993" w:leader="none"/>
        </w:tabs>
        <w:spacing w:lineRule="auto" w:line="276" w:before="0" w:after="160"/>
        <w:ind w:hanging="0" w:left="0"/>
        <w:contextualSpacing/>
        <w:jc w:val="both"/>
        <w:rPr>
          <w:rFonts w:eastAsia="" w:eastAsiaTheme="minorEastAsia"/>
          <w:szCs w:val="24"/>
          <w:lang w:eastAsia="lt-LT"/>
        </w:rPr>
      </w:pPr>
      <w:r>
        <w:rPr>
          <w:rFonts w:eastAsia="" w:eastAsiaTheme="minorEastAsia"/>
          <w:szCs w:val="24"/>
          <w:lang w:eastAsia="lt-LT"/>
        </w:rPr>
        <w:t>Kilus ginčams dėl viešųjų pirkimų organizavimo ar Sutarties vykdymo, Perkančioji organizacija gali tvarkyti 24 punkte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Normal"/>
        <w:numPr>
          <w:ilvl w:val="0"/>
          <w:numId w:val="5"/>
        </w:numPr>
        <w:tabs>
          <w:tab w:val="clear" w:pos="1296"/>
          <w:tab w:val="left" w:pos="0" w:leader="none"/>
          <w:tab w:val="left" w:pos="284" w:leader="none"/>
          <w:tab w:val="left" w:pos="426" w:leader="none"/>
          <w:tab w:val="left" w:pos="709" w:leader="none"/>
          <w:tab w:val="left" w:pos="993" w:leader="none"/>
        </w:tabs>
        <w:spacing w:lineRule="auto" w:line="276" w:before="0" w:after="160"/>
        <w:ind w:hanging="0" w:left="0"/>
        <w:contextualSpacing/>
        <w:jc w:val="both"/>
        <w:rPr>
          <w:rFonts w:eastAsia="" w:eastAsiaTheme="minorEastAsia"/>
          <w:szCs w:val="24"/>
          <w:lang w:eastAsia="lt-LT"/>
        </w:rPr>
      </w:pPr>
      <w:r>
        <w:rPr>
          <w:rFonts w:eastAsia="" w:eastAsiaTheme="minorEastAsia"/>
          <w:szCs w:val="24"/>
          <w:lang w:eastAsia="lt-LT"/>
        </w:rPr>
        <w:t xml:space="preserve">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Perkančiosios organizacijos dokumentacijos plane numatytais terminais.  </w:t>
      </w:r>
    </w:p>
    <w:p>
      <w:pPr>
        <w:pStyle w:val="Normal"/>
        <w:numPr>
          <w:ilvl w:val="0"/>
          <w:numId w:val="5"/>
        </w:numPr>
        <w:tabs>
          <w:tab w:val="clear" w:pos="1296"/>
          <w:tab w:val="left" w:pos="0" w:leader="none"/>
          <w:tab w:val="left" w:pos="284" w:leader="none"/>
          <w:tab w:val="left" w:pos="426" w:leader="none"/>
          <w:tab w:val="left" w:pos="709" w:leader="none"/>
          <w:tab w:val="left" w:pos="993" w:leader="none"/>
        </w:tabs>
        <w:spacing w:lineRule="auto" w:line="276" w:before="0" w:after="160"/>
        <w:ind w:hanging="0" w:left="0"/>
        <w:contextualSpacing/>
        <w:jc w:val="both"/>
        <w:rPr>
          <w:rFonts w:eastAsia="" w:eastAsiaTheme="minorEastAsia"/>
          <w:szCs w:val="24"/>
          <w:lang w:eastAsia="lt-LT"/>
        </w:rPr>
      </w:pPr>
      <w:r>
        <w:rPr>
          <w:rFonts w:eastAsia="" w:eastAsiaTheme="minorEastAsia"/>
          <w:szCs w:val="24"/>
          <w:lang w:eastAsia="lt-LT"/>
        </w:rPr>
        <w:t>Asmens duomenų pateikimas yra privalomas. Nepateikus asmens duomenų Paslaugų teikėjo pasiūlymas negalės būti vertinamas bei nebus galima sudaryti ir vykdyti Sutarties.</w:t>
      </w:r>
    </w:p>
    <w:p>
      <w:pPr>
        <w:pStyle w:val="Normal"/>
        <w:numPr>
          <w:ilvl w:val="0"/>
          <w:numId w:val="5"/>
        </w:numPr>
        <w:tabs>
          <w:tab w:val="clear" w:pos="1296"/>
          <w:tab w:val="left" w:pos="0" w:leader="none"/>
          <w:tab w:val="left" w:pos="284" w:leader="none"/>
          <w:tab w:val="left" w:pos="426" w:leader="none"/>
          <w:tab w:val="left" w:pos="709" w:leader="none"/>
          <w:tab w:val="left" w:pos="993" w:leader="none"/>
        </w:tabs>
        <w:spacing w:lineRule="auto" w:line="276" w:before="0" w:after="160"/>
        <w:ind w:hanging="0" w:left="0"/>
        <w:contextualSpacing/>
        <w:jc w:val="both"/>
        <w:rPr>
          <w:rFonts w:eastAsia="" w:eastAsiaTheme="minorEastAsia"/>
          <w:szCs w:val="24"/>
          <w:lang w:eastAsia="lt-LT"/>
        </w:rPr>
      </w:pPr>
      <w:r>
        <w:rPr>
          <w:rFonts w:eastAsia="" w:eastAsiaTheme="minorEastAsia"/>
          <w:szCs w:val="24"/>
          <w:lang w:eastAsia="lt-LT"/>
        </w:rPr>
        <w:t xml:space="preserve">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Normal"/>
        <w:numPr>
          <w:ilvl w:val="0"/>
          <w:numId w:val="5"/>
        </w:numPr>
        <w:tabs>
          <w:tab w:val="clear" w:pos="1296"/>
          <w:tab w:val="left" w:pos="0" w:leader="none"/>
          <w:tab w:val="left" w:pos="284" w:leader="none"/>
          <w:tab w:val="left" w:pos="426" w:leader="none"/>
          <w:tab w:val="left" w:pos="709" w:leader="none"/>
          <w:tab w:val="left" w:pos="993" w:leader="none"/>
        </w:tabs>
        <w:spacing w:lineRule="auto" w:line="276" w:before="0" w:after="160"/>
        <w:ind w:hanging="0" w:left="0"/>
        <w:contextualSpacing/>
        <w:jc w:val="both"/>
        <w:rPr>
          <w:rFonts w:eastAsia="" w:eastAsiaTheme="minorEastAsia"/>
          <w:szCs w:val="24"/>
          <w:lang w:eastAsia="lt-LT"/>
        </w:rPr>
      </w:pPr>
      <w:r>
        <w:rPr>
          <w:rFonts w:eastAsia="" w:eastAsiaTheme="minorEastAsia"/>
          <w:szCs w:val="24"/>
          <w:lang w:eastAsia="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eastAsia="" w:eastAsiaTheme="minorEastAsia"/>
            <w:szCs w:val="24"/>
            <w:lang w:eastAsia="lt-LT"/>
          </w:rPr>
          <w:t>https://vdai.lrv.lt/</w:t>
        </w:r>
      </w:hyperlink>
      <w:r>
        <w:rPr>
          <w:rFonts w:eastAsia="" w:eastAsiaTheme="minorEastAsia"/>
          <w:szCs w:val="24"/>
          <w:lang w:eastAsia="lt-LT"/>
        </w:rPr>
        <w:t xml:space="preserve">. </w:t>
      </w:r>
    </w:p>
    <w:p>
      <w:pPr>
        <w:pStyle w:val="Normal"/>
        <w:numPr>
          <w:ilvl w:val="0"/>
          <w:numId w:val="5"/>
        </w:numPr>
        <w:tabs>
          <w:tab w:val="clear" w:pos="1296"/>
          <w:tab w:val="left" w:pos="0" w:leader="none"/>
          <w:tab w:val="left" w:pos="284" w:leader="none"/>
          <w:tab w:val="left" w:pos="426" w:leader="none"/>
          <w:tab w:val="left" w:pos="709" w:leader="none"/>
          <w:tab w:val="left" w:pos="993" w:leader="none"/>
        </w:tabs>
        <w:spacing w:lineRule="auto" w:line="276" w:before="0" w:after="160"/>
        <w:ind w:hanging="0" w:left="0"/>
        <w:contextualSpacing/>
        <w:jc w:val="both"/>
        <w:rPr>
          <w:rFonts w:eastAsia="" w:eastAsiaTheme="minorEastAsia"/>
          <w:szCs w:val="24"/>
          <w:lang w:eastAsia="lt-LT"/>
        </w:rPr>
      </w:pPr>
      <w:r>
        <w:rPr>
          <w:rFonts w:eastAsia="" w:eastAsiaTheme="minorEastAsia"/>
          <w:szCs w:val="24"/>
          <w:lang w:eastAsia="lt-LT"/>
        </w:rPr>
        <w:t xml:space="preserve">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hyperlink r:id="rId3">
        <w:r>
          <w:rPr>
            <w:rFonts w:eastAsia="" w:eastAsiaTheme="minorEastAsia"/>
            <w:szCs w:val="24"/>
            <w:lang w:eastAsia="lt-LT"/>
          </w:rPr>
          <w:t>institutas@hi.lt</w:t>
        </w:r>
      </w:hyperlink>
      <w:r>
        <w:rPr>
          <w:rFonts w:eastAsia="" w:eastAsiaTheme="minorEastAsia"/>
          <w:szCs w:val="24"/>
          <w:lang w:eastAsia="lt-LT"/>
        </w:rPr>
        <w:t xml:space="preserve"> ar jo duomenų apsaugos pareigūnui el. paštu ada.ekspertai@gmail.com. </w:t>
      </w:r>
    </w:p>
    <w:p>
      <w:pPr>
        <w:pStyle w:val="Normal"/>
        <w:numPr>
          <w:ilvl w:val="0"/>
          <w:numId w:val="5"/>
        </w:numPr>
        <w:tabs>
          <w:tab w:val="clear" w:pos="1296"/>
          <w:tab w:val="left" w:pos="0" w:leader="none"/>
          <w:tab w:val="left" w:pos="284" w:leader="none"/>
          <w:tab w:val="left" w:pos="426" w:leader="none"/>
          <w:tab w:val="left" w:pos="709" w:leader="none"/>
          <w:tab w:val="left" w:pos="993" w:leader="none"/>
        </w:tabs>
        <w:spacing w:lineRule="auto" w:line="276" w:before="0" w:after="160"/>
        <w:ind w:hanging="0" w:left="0"/>
        <w:contextualSpacing/>
        <w:jc w:val="both"/>
        <w:rPr>
          <w:rFonts w:eastAsia="" w:eastAsiaTheme="minorEastAsia"/>
          <w:szCs w:val="24"/>
          <w:lang w:eastAsia="lt-LT"/>
        </w:rPr>
      </w:pPr>
      <w:r>
        <w:rPr>
          <w:rFonts w:eastAsia="" w:eastAsiaTheme="minorEastAsia"/>
          <w:szCs w:val="24"/>
          <w:lang w:eastAsia="lt-LT"/>
        </w:rPr>
        <w:t xml:space="preserve">Paslaugų teikėjas, prieš teikdamas pasiūlymą ir prieš sudarydamas Sutartį, nurodytus fizinius asmenis privalo supažindinti su 23-30 punktuose pateikta informacija apie Perkančiosios organizacijos vykdomą asmens duomenų tvarkymą. </w:t>
      </w:r>
    </w:p>
    <w:p>
      <w:pPr>
        <w:pStyle w:val="Normal"/>
        <w:widowControl w:val="false"/>
        <w:numPr>
          <w:ilvl w:val="0"/>
          <w:numId w:val="5"/>
        </w:numPr>
        <w:shd w:val="clear" w:color="auto" w:fill="FFFFFF"/>
        <w:tabs>
          <w:tab w:val="clear" w:pos="1296"/>
          <w:tab w:val="left" w:pos="0" w:leader="none"/>
          <w:tab w:val="left" w:pos="284" w:leader="none"/>
          <w:tab w:val="left" w:pos="426" w:leader="none"/>
          <w:tab w:val="left" w:pos="709" w:leader="none"/>
          <w:tab w:val="left" w:pos="851" w:leader="none"/>
          <w:tab w:val="left" w:pos="909" w:leader="none"/>
          <w:tab w:val="left" w:pos="993" w:leader="none"/>
          <w:tab w:val="left" w:pos="1193" w:leader="none"/>
        </w:tabs>
        <w:spacing w:lineRule="auto" w:line="276" w:before="0" w:after="160"/>
        <w:ind w:hanging="0" w:left="0" w:right="-1"/>
        <w:contextualSpacing/>
        <w:jc w:val="both"/>
        <w:rPr>
          <w:szCs w:val="24"/>
          <w:lang w:eastAsia="lt-LT"/>
        </w:rPr>
      </w:pPr>
      <w:r>
        <w:rPr>
          <w:rFonts w:eastAsia="" w:eastAsiaTheme="minorEastAsia"/>
          <w:szCs w:val="24"/>
          <w:lang w:eastAsia="lt-LT"/>
        </w:rPr>
        <w:t>Paslaugų teikėjas, su kuriuo bus pasirašyta Sutartis, paslaugų teikimo tikslu tvarkys mokymų dalyvių asmens duomenis Perkančiosios organizacijos vardu ir pagal jos nurodymus, laikydamasis asmens duomenų tvarkymo sutartyje nurodytų sąlygų.</w:t>
      </w:r>
    </w:p>
    <w:p>
      <w:pPr>
        <w:pStyle w:val="Normal"/>
        <w:tabs>
          <w:tab w:val="clear" w:pos="1296"/>
          <w:tab w:val="left" w:pos="0" w:leader="none"/>
          <w:tab w:val="left" w:pos="426" w:leader="none"/>
          <w:tab w:val="left" w:pos="709" w:leader="none"/>
          <w:tab w:val="left" w:pos="993" w:leader="none"/>
        </w:tabs>
        <w:jc w:val="both"/>
        <w:textAlignment w:val="baseline"/>
        <w:rPr>
          <w:rFonts w:eastAsia="" w:eastAsiaTheme="minorEastAsia"/>
          <w:szCs w:val="24"/>
          <w:lang w:eastAsia="lt-LT"/>
        </w:rPr>
      </w:pPr>
      <w:r>
        <w:rPr>
          <w:rFonts w:eastAsia="" w:eastAsiaTheme="minorEastAsia"/>
          <w:szCs w:val="24"/>
          <w:lang w:eastAsia="lt-LT"/>
        </w:rPr>
      </w:r>
    </w:p>
    <w:p>
      <w:pPr>
        <w:pStyle w:val="Normal"/>
        <w:tabs>
          <w:tab w:val="clear" w:pos="1296"/>
          <w:tab w:val="left" w:pos="0" w:leader="none"/>
          <w:tab w:val="left" w:pos="426" w:leader="none"/>
          <w:tab w:val="left" w:pos="709" w:leader="none"/>
          <w:tab w:val="left" w:pos="993" w:leader="none"/>
        </w:tabs>
        <w:spacing w:before="0" w:after="0"/>
        <w:contextualSpacing/>
        <w:jc w:val="center"/>
        <w:textAlignment w:val="baseline"/>
        <w:rPr>
          <w:szCs w:val="24"/>
          <w:lang w:eastAsia="lt-LT"/>
        </w:rPr>
      </w:pPr>
      <w:r>
        <w:rPr>
          <w:szCs w:val="24"/>
          <w:lang w:eastAsia="lt-LT"/>
        </w:rPr>
        <w:t>_______________________</w:t>
      </w:r>
    </w:p>
    <w:p>
      <w:pPr>
        <w:pStyle w:val="Normal"/>
        <w:tabs>
          <w:tab w:val="clear" w:pos="1296"/>
          <w:tab w:val="left" w:pos="0" w:leader="none"/>
          <w:tab w:val="left" w:pos="426" w:leader="none"/>
          <w:tab w:val="left" w:pos="709" w:leader="none"/>
          <w:tab w:val="left" w:pos="993" w:leader="none"/>
        </w:tabs>
        <w:rPr>
          <w:szCs w:val="24"/>
          <w:lang w:eastAsia="lt-LT"/>
        </w:rPr>
      </w:pPr>
      <w:r>
        <w:rPr>
          <w:szCs w:val="24"/>
          <w:lang w:eastAsia="lt-LT"/>
        </w:rPr>
      </w:r>
    </w:p>
    <w:p>
      <w:pPr>
        <w:pStyle w:val="Normal"/>
        <w:suppressAutoHyphens w:val="false"/>
        <w:spacing w:lineRule="auto" w:line="259" w:before="0" w:after="160"/>
        <w:rPr/>
      </w:pPr>
      <w:r>
        <w:rPr/>
      </w:r>
    </w:p>
    <w:sectPr>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swiss"/>
    <w:pitch w:val="variable"/>
  </w:font>
  <w:font w:name="Segoe UI">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211"/>
        </w:tabs>
        <w:ind w:left="1211"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
    <w:lvl w:ilvl="0">
      <w:start w:val="4"/>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
    <w:lvl w:ilvl="0">
      <w:start w:val="6"/>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4">
    <w:lvl w:ilvl="0">
      <w:start w:val="9"/>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
    <w:lvl w:ilvl="0">
      <w:start w:val="13"/>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6">
    <w:lvl w:ilvl="0">
      <w:start w:val="11"/>
      <w:numFmt w:val="decimal"/>
      <w:lvlText w:val="%1."/>
      <w:lvlJc w:val="left"/>
      <w:pPr>
        <w:tabs>
          <w:tab w:val="num" w:pos="0"/>
        </w:tabs>
        <w:ind w:left="480" w:hanging="480"/>
      </w:pPr>
      <w:rPr>
        <w:sz w:val="24"/>
        <w:szCs w:val="24"/>
        <w:rFonts w:cs="" w:asciiTheme="majorBidi" w:cstheme="majorBidi" w:hAnsiTheme="majorBidi"/>
      </w:rPr>
    </w:lvl>
    <w:lvl w:ilvl="1">
      <w:start w:val="1"/>
      <w:numFmt w:val="decimal"/>
      <w:lvlText w:val="%1.%2."/>
      <w:lvlJc w:val="left"/>
      <w:pPr>
        <w:tabs>
          <w:tab w:val="num" w:pos="0"/>
        </w:tabs>
        <w:ind w:left="1331" w:hanging="480"/>
      </w:pPr>
      <w:rPr/>
    </w:lvl>
    <w:lvl w:ilvl="2">
      <w:start w:val="1"/>
      <w:numFmt w:val="decimal"/>
      <w:lvlText w:val="%1.%2.%3."/>
      <w:lvlJc w:val="left"/>
      <w:pPr>
        <w:tabs>
          <w:tab w:val="num" w:pos="0"/>
        </w:tabs>
        <w:ind w:left="5040" w:hanging="720"/>
      </w:pPr>
      <w:rPr/>
    </w:lvl>
    <w:lvl w:ilvl="3">
      <w:start w:val="1"/>
      <w:numFmt w:val="decimal"/>
      <w:lvlText w:val="%1.%2.%3.%4."/>
      <w:lvlJc w:val="left"/>
      <w:pPr>
        <w:tabs>
          <w:tab w:val="num" w:pos="0"/>
        </w:tabs>
        <w:ind w:left="7200" w:hanging="720"/>
      </w:pPr>
      <w:rPr/>
    </w:lvl>
    <w:lvl w:ilvl="4">
      <w:start w:val="1"/>
      <w:numFmt w:val="decimal"/>
      <w:lvlText w:val="%1.%2.%3.%4.%5."/>
      <w:lvlJc w:val="left"/>
      <w:pPr>
        <w:tabs>
          <w:tab w:val="num" w:pos="0"/>
        </w:tabs>
        <w:ind w:left="9720" w:hanging="1080"/>
      </w:pPr>
      <w:rPr/>
    </w:lvl>
    <w:lvl w:ilvl="5">
      <w:start w:val="1"/>
      <w:numFmt w:val="decimal"/>
      <w:lvlText w:val="%1.%2.%3.%4.%5.%6."/>
      <w:lvlJc w:val="left"/>
      <w:pPr>
        <w:tabs>
          <w:tab w:val="num" w:pos="0"/>
        </w:tabs>
        <w:ind w:left="11880" w:hanging="1080"/>
      </w:pPr>
      <w:rPr/>
    </w:lvl>
    <w:lvl w:ilvl="6">
      <w:start w:val="1"/>
      <w:numFmt w:val="decimal"/>
      <w:lvlText w:val="%1.%2.%3.%4.%5.%6.%7."/>
      <w:lvlJc w:val="left"/>
      <w:pPr>
        <w:tabs>
          <w:tab w:val="num" w:pos="0"/>
        </w:tabs>
        <w:ind w:left="14400" w:hanging="1440"/>
      </w:pPr>
      <w:rPr/>
    </w:lvl>
    <w:lvl w:ilvl="7">
      <w:start w:val="1"/>
      <w:numFmt w:val="decimal"/>
      <w:lvlText w:val="%1.%2.%3.%4.%5.%6.%7.%8."/>
      <w:lvlJc w:val="left"/>
      <w:pPr>
        <w:tabs>
          <w:tab w:val="num" w:pos="0"/>
        </w:tabs>
        <w:ind w:left="16560" w:hanging="1440"/>
      </w:pPr>
      <w:rPr/>
    </w:lvl>
    <w:lvl w:ilvl="8">
      <w:start w:val="1"/>
      <w:numFmt w:val="decimal"/>
      <w:lvlText w:val="%1.%2.%3.%4.%5.%6.%7.%8.%9."/>
      <w:lvlJc w:val="left"/>
      <w:pPr>
        <w:tabs>
          <w:tab w:val="num" w:pos="0"/>
        </w:tabs>
        <w:ind w:left="19080" w:hanging="1800"/>
      </w:pPr>
      <w:rPr/>
    </w:lvl>
  </w:abstractNum>
  <w:abstractNum w:abstractNumId="7">
    <w:lvl w:ilvl="0">
      <w:start w:val="7"/>
      <w:numFmt w:val="decimal"/>
      <w:lvlText w:val="%1."/>
      <w:lvlJc w:val="left"/>
      <w:pPr>
        <w:tabs>
          <w:tab w:val="num" w:pos="0"/>
        </w:tabs>
        <w:ind w:left="360" w:hanging="360"/>
      </w:pPr>
      <w:rPr>
        <w:color w:val="000000"/>
      </w:rPr>
    </w:lvl>
    <w:lvl w:ilvl="1">
      <w:start w:val="1"/>
      <w:numFmt w:val="decimal"/>
      <w:lvlText w:val="%1.%2."/>
      <w:lvlJc w:val="left"/>
      <w:pPr>
        <w:tabs>
          <w:tab w:val="num" w:pos="0"/>
        </w:tabs>
        <w:ind w:left="928" w:hanging="360"/>
      </w:pPr>
      <w:rPr>
        <w:color w:val="000000"/>
      </w:rPr>
    </w:lvl>
    <w:lvl w:ilvl="2">
      <w:start w:val="1"/>
      <w:numFmt w:val="decimal"/>
      <w:lvlText w:val="%1.%2.%3."/>
      <w:lvlJc w:val="left"/>
      <w:pPr>
        <w:tabs>
          <w:tab w:val="num" w:pos="0"/>
        </w:tabs>
        <w:ind w:left="1856" w:hanging="720"/>
      </w:pPr>
      <w:rPr>
        <w:color w:val="000000"/>
      </w:rPr>
    </w:lvl>
    <w:lvl w:ilvl="3">
      <w:start w:val="1"/>
      <w:numFmt w:val="decimal"/>
      <w:lvlText w:val="%1.%2.%3.%4."/>
      <w:lvlJc w:val="left"/>
      <w:pPr>
        <w:tabs>
          <w:tab w:val="num" w:pos="0"/>
        </w:tabs>
        <w:ind w:left="2424" w:hanging="720"/>
      </w:pPr>
      <w:rPr>
        <w:color w:val="000000"/>
      </w:rPr>
    </w:lvl>
    <w:lvl w:ilvl="4">
      <w:start w:val="1"/>
      <w:numFmt w:val="decimal"/>
      <w:lvlText w:val="%1.%2.%3.%4.%5."/>
      <w:lvlJc w:val="left"/>
      <w:pPr>
        <w:tabs>
          <w:tab w:val="num" w:pos="0"/>
        </w:tabs>
        <w:ind w:left="3352" w:hanging="1080"/>
      </w:pPr>
      <w:rPr>
        <w:color w:val="000000"/>
      </w:rPr>
    </w:lvl>
    <w:lvl w:ilvl="5">
      <w:start w:val="1"/>
      <w:numFmt w:val="decimal"/>
      <w:lvlText w:val="%1.%2.%3.%4.%5.%6."/>
      <w:lvlJc w:val="left"/>
      <w:pPr>
        <w:tabs>
          <w:tab w:val="num" w:pos="0"/>
        </w:tabs>
        <w:ind w:left="3920" w:hanging="1080"/>
      </w:pPr>
      <w:rPr>
        <w:color w:val="000000"/>
      </w:rPr>
    </w:lvl>
    <w:lvl w:ilvl="6">
      <w:start w:val="1"/>
      <w:numFmt w:val="decimal"/>
      <w:lvlText w:val="%1.%2.%3.%4.%5.%6.%7."/>
      <w:lvlJc w:val="left"/>
      <w:pPr>
        <w:tabs>
          <w:tab w:val="num" w:pos="0"/>
        </w:tabs>
        <w:ind w:left="4848" w:hanging="1440"/>
      </w:pPr>
      <w:rPr>
        <w:color w:val="000000"/>
      </w:rPr>
    </w:lvl>
    <w:lvl w:ilvl="7">
      <w:start w:val="1"/>
      <w:numFmt w:val="decimal"/>
      <w:lvlText w:val="%1.%2.%3.%4.%5.%6.%7.%8."/>
      <w:lvlJc w:val="left"/>
      <w:pPr>
        <w:tabs>
          <w:tab w:val="num" w:pos="0"/>
        </w:tabs>
        <w:ind w:left="5416" w:hanging="1440"/>
      </w:pPr>
      <w:rPr>
        <w:color w:val="000000"/>
      </w:rPr>
    </w:lvl>
    <w:lvl w:ilvl="8">
      <w:start w:val="1"/>
      <w:numFmt w:val="decimal"/>
      <w:lvlText w:val="%1.%2.%3.%4.%5.%6.%7.%8.%9."/>
      <w:lvlJc w:val="left"/>
      <w:pPr>
        <w:tabs>
          <w:tab w:val="num" w:pos="0"/>
        </w:tabs>
        <w:ind w:left="6344" w:hanging="1800"/>
      </w:pPr>
      <w:rPr>
        <w:color w:val="000000"/>
      </w:rPr>
    </w:lvl>
  </w:abstractNum>
  <w:abstractNum w:abstractNumId="8">
    <w:lvl w:ilvl="0">
      <w:start w:val="10"/>
      <w:numFmt w:val="decimal"/>
      <w:lvlText w:val="%1."/>
      <w:lvlJc w:val="left"/>
      <w:pPr>
        <w:tabs>
          <w:tab w:val="num" w:pos="0"/>
        </w:tabs>
        <w:ind w:left="480" w:hanging="480"/>
      </w:pPr>
      <w:rPr/>
    </w:lvl>
    <w:lvl w:ilvl="1">
      <w:start w:val="1"/>
      <w:numFmt w:val="decimal"/>
      <w:lvlText w:val="%1.%2."/>
      <w:lvlJc w:val="left"/>
      <w:pPr>
        <w:tabs>
          <w:tab w:val="num" w:pos="0"/>
        </w:tabs>
        <w:ind w:left="2640" w:hanging="480"/>
      </w:pPr>
      <w:rPr/>
    </w:lvl>
    <w:lvl w:ilvl="2">
      <w:start w:val="1"/>
      <w:numFmt w:val="decimal"/>
      <w:lvlText w:val="%1.%2.%3."/>
      <w:lvlJc w:val="left"/>
      <w:pPr>
        <w:tabs>
          <w:tab w:val="num" w:pos="0"/>
        </w:tabs>
        <w:ind w:left="5040" w:hanging="720"/>
      </w:pPr>
      <w:rPr/>
    </w:lvl>
    <w:lvl w:ilvl="3">
      <w:start w:val="1"/>
      <w:numFmt w:val="decimal"/>
      <w:lvlText w:val="%1.%2.%3.%4."/>
      <w:lvlJc w:val="left"/>
      <w:pPr>
        <w:tabs>
          <w:tab w:val="num" w:pos="0"/>
        </w:tabs>
        <w:ind w:left="7200" w:hanging="720"/>
      </w:pPr>
      <w:rPr/>
    </w:lvl>
    <w:lvl w:ilvl="4">
      <w:start w:val="1"/>
      <w:numFmt w:val="decimal"/>
      <w:lvlText w:val="%1.%2.%3.%4.%5."/>
      <w:lvlJc w:val="left"/>
      <w:pPr>
        <w:tabs>
          <w:tab w:val="num" w:pos="0"/>
        </w:tabs>
        <w:ind w:left="9720" w:hanging="1080"/>
      </w:pPr>
      <w:rPr/>
    </w:lvl>
    <w:lvl w:ilvl="5">
      <w:start w:val="1"/>
      <w:numFmt w:val="decimal"/>
      <w:lvlText w:val="%1.%2.%3.%4.%5.%6."/>
      <w:lvlJc w:val="left"/>
      <w:pPr>
        <w:tabs>
          <w:tab w:val="num" w:pos="0"/>
        </w:tabs>
        <w:ind w:left="11880" w:hanging="1080"/>
      </w:pPr>
      <w:rPr/>
    </w:lvl>
    <w:lvl w:ilvl="6">
      <w:start w:val="1"/>
      <w:numFmt w:val="decimal"/>
      <w:lvlText w:val="%1.%2.%3.%4.%5.%6.%7."/>
      <w:lvlJc w:val="left"/>
      <w:pPr>
        <w:tabs>
          <w:tab w:val="num" w:pos="0"/>
        </w:tabs>
        <w:ind w:left="14400" w:hanging="1440"/>
      </w:pPr>
      <w:rPr/>
    </w:lvl>
    <w:lvl w:ilvl="7">
      <w:start w:val="1"/>
      <w:numFmt w:val="decimal"/>
      <w:lvlText w:val="%1.%2.%3.%4.%5.%6.%7.%8."/>
      <w:lvlJc w:val="left"/>
      <w:pPr>
        <w:tabs>
          <w:tab w:val="num" w:pos="0"/>
        </w:tabs>
        <w:ind w:left="16560" w:hanging="1440"/>
      </w:pPr>
      <w:rPr/>
    </w:lvl>
    <w:lvl w:ilvl="8">
      <w:start w:val="1"/>
      <w:numFmt w:val="decimal"/>
      <w:lvlText w:val="%1.%2.%3.%4.%5.%6.%7.%8.%9."/>
      <w:lvlJc w:val="left"/>
      <w:pPr>
        <w:tabs>
          <w:tab w:val="num" w:pos="0"/>
        </w:tabs>
        <w:ind w:left="19080" w:hanging="180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e4cb1"/>
    <w:pPr>
      <w:widowControl/>
      <w:suppressAutoHyphens w:val="true"/>
      <w:bidi w:val="0"/>
      <w:spacing w:before="0" w:after="0"/>
      <w:jc w:val="left"/>
    </w:pPr>
    <w:rPr>
      <w:rFonts w:eastAsia="Times New Roman" w:cs="Times New Roman" w:ascii="Times New Roman" w:hAnsi="Times New Roman"/>
      <w:color w:val="auto"/>
      <w:kern w:val="0"/>
      <w:sz w:val="24"/>
      <w:szCs w:val="20"/>
      <w:lang w:val="lt-LT" w:eastAsia="en-US" w:bidi="ar-SA"/>
      <w14:ligatures w14:val="none"/>
    </w:rPr>
  </w:style>
  <w:style w:type="paragraph" w:styleId="Heading1">
    <w:name w:val="Heading 1"/>
    <w:basedOn w:val="Normal"/>
    <w:next w:val="Normal"/>
    <w:link w:val="Antrat1Diagrama"/>
    <w:uiPriority w:val="9"/>
    <w:qFormat/>
    <w:rsid w:val="00507553"/>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Antrat2Diagrama"/>
    <w:uiPriority w:val="9"/>
    <w:semiHidden/>
    <w:unhideWhenUsed/>
    <w:qFormat/>
    <w:rsid w:val="00507553"/>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Antrat3Diagrama"/>
    <w:uiPriority w:val="9"/>
    <w:semiHidden/>
    <w:unhideWhenUsed/>
    <w:qFormat/>
    <w:rsid w:val="00507553"/>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Antrat4Diagrama"/>
    <w:uiPriority w:val="9"/>
    <w:semiHidden/>
    <w:unhideWhenUsed/>
    <w:qFormat/>
    <w:rsid w:val="00507553"/>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Antrat5Diagrama"/>
    <w:uiPriority w:val="9"/>
    <w:semiHidden/>
    <w:unhideWhenUsed/>
    <w:qFormat/>
    <w:rsid w:val="00507553"/>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Antrat6Diagrama"/>
    <w:uiPriority w:val="9"/>
    <w:semiHidden/>
    <w:unhideWhenUsed/>
    <w:qFormat/>
    <w:rsid w:val="00507553"/>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Antrat7Diagrama"/>
    <w:uiPriority w:val="9"/>
    <w:semiHidden/>
    <w:unhideWhenUsed/>
    <w:qFormat/>
    <w:rsid w:val="00507553"/>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Antrat8Diagrama"/>
    <w:uiPriority w:val="9"/>
    <w:semiHidden/>
    <w:unhideWhenUsed/>
    <w:qFormat/>
    <w:rsid w:val="00507553"/>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Antrat9Diagrama"/>
    <w:uiPriority w:val="9"/>
    <w:semiHidden/>
    <w:unhideWhenUsed/>
    <w:qFormat/>
    <w:rsid w:val="00507553"/>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link w:val="Heading1"/>
    <w:uiPriority w:val="9"/>
    <w:qFormat/>
    <w:rsid w:val="00507553"/>
    <w:rPr>
      <w:rFonts w:ascii="Calibri Light" w:hAnsi="Calibri Light" w:eastAsia="" w:cs="" w:asciiTheme="majorHAnsi" w:cstheme="majorBidi" w:eastAsiaTheme="majorEastAsia" w:hAnsiTheme="majorHAnsi"/>
      <w:color w:themeColor="accent1" w:themeShade="bf" w:val="2F5496"/>
      <w:sz w:val="40"/>
      <w:szCs w:val="40"/>
    </w:rPr>
  </w:style>
  <w:style w:type="character" w:styleId="Antrat2Diagrama" w:customStyle="1">
    <w:name w:val="Antraštė 2 Diagrama"/>
    <w:basedOn w:val="DefaultParagraphFont"/>
    <w:link w:val="Heading2"/>
    <w:uiPriority w:val="9"/>
    <w:semiHidden/>
    <w:qFormat/>
    <w:rsid w:val="00507553"/>
    <w:rPr>
      <w:rFonts w:ascii="Calibri Light" w:hAnsi="Calibri Light" w:eastAsia="" w:cs="" w:asciiTheme="majorHAnsi" w:cstheme="majorBidi" w:eastAsiaTheme="majorEastAsia" w:hAnsiTheme="majorHAnsi"/>
      <w:color w:themeColor="accent1" w:themeShade="bf" w:val="2F5496"/>
      <w:sz w:val="32"/>
      <w:szCs w:val="32"/>
    </w:rPr>
  </w:style>
  <w:style w:type="character" w:styleId="Antrat3Diagrama" w:customStyle="1">
    <w:name w:val="Antraštė 3 Diagrama"/>
    <w:basedOn w:val="DefaultParagraphFont"/>
    <w:link w:val="Heading3"/>
    <w:uiPriority w:val="9"/>
    <w:semiHidden/>
    <w:qFormat/>
    <w:rsid w:val="00507553"/>
    <w:rPr>
      <w:rFonts w:ascii="Calibri" w:hAnsi="Calibri" w:eastAsia="" w:cs="" w:asciiTheme="minorHAnsi" w:cstheme="majorBidi" w:eastAsiaTheme="majorEastAsia" w:hAnsiTheme="minorHAnsi"/>
      <w:color w:themeColor="accent1" w:themeShade="bf" w:val="2F5496"/>
      <w:sz w:val="28"/>
      <w:szCs w:val="28"/>
    </w:rPr>
  </w:style>
  <w:style w:type="character" w:styleId="Antrat4Diagrama" w:customStyle="1">
    <w:name w:val="Antraštė 4 Diagrama"/>
    <w:basedOn w:val="DefaultParagraphFont"/>
    <w:link w:val="Heading4"/>
    <w:uiPriority w:val="9"/>
    <w:semiHidden/>
    <w:qFormat/>
    <w:rsid w:val="00507553"/>
    <w:rPr>
      <w:rFonts w:ascii="Calibri" w:hAnsi="Calibri" w:eastAsia="" w:cs="" w:asciiTheme="minorHAnsi" w:cstheme="majorBidi" w:eastAsiaTheme="majorEastAsia" w:hAnsiTheme="minorHAnsi"/>
      <w:i/>
      <w:iCs/>
      <w:color w:themeColor="accent1" w:themeShade="bf" w:val="2F5496"/>
    </w:rPr>
  </w:style>
  <w:style w:type="character" w:styleId="Antrat5Diagrama" w:customStyle="1">
    <w:name w:val="Antraštė 5 Diagrama"/>
    <w:basedOn w:val="DefaultParagraphFont"/>
    <w:link w:val="Heading5"/>
    <w:uiPriority w:val="9"/>
    <w:semiHidden/>
    <w:qFormat/>
    <w:rsid w:val="00507553"/>
    <w:rPr>
      <w:rFonts w:ascii="Calibri" w:hAnsi="Calibri" w:eastAsia="" w:cs="" w:asciiTheme="minorHAnsi" w:cstheme="majorBidi" w:eastAsiaTheme="majorEastAsia" w:hAnsiTheme="minorHAnsi"/>
      <w:color w:themeColor="accent1" w:themeShade="bf" w:val="2F5496"/>
    </w:rPr>
  </w:style>
  <w:style w:type="character" w:styleId="Antrat6Diagrama" w:customStyle="1">
    <w:name w:val="Antraštė 6 Diagrama"/>
    <w:basedOn w:val="DefaultParagraphFont"/>
    <w:link w:val="Heading6"/>
    <w:uiPriority w:val="9"/>
    <w:semiHidden/>
    <w:qFormat/>
    <w:rsid w:val="00507553"/>
    <w:rPr>
      <w:rFonts w:ascii="Calibri" w:hAnsi="Calibri" w:eastAsia="" w:cs="" w:asciiTheme="minorHAnsi" w:cstheme="majorBidi" w:eastAsiaTheme="majorEastAsia" w:hAnsiTheme="minorHAnsi"/>
      <w:i/>
      <w:iCs/>
      <w:color w:themeColor="text1" w:themeTint="a6" w:val="595959"/>
    </w:rPr>
  </w:style>
  <w:style w:type="character" w:styleId="Antrat7Diagrama" w:customStyle="1">
    <w:name w:val="Antraštė 7 Diagrama"/>
    <w:basedOn w:val="DefaultParagraphFont"/>
    <w:link w:val="Heading7"/>
    <w:uiPriority w:val="9"/>
    <w:semiHidden/>
    <w:qFormat/>
    <w:rsid w:val="00507553"/>
    <w:rPr>
      <w:rFonts w:ascii="Calibri" w:hAnsi="Calibri" w:eastAsia="" w:cs="" w:asciiTheme="minorHAnsi" w:cstheme="majorBidi" w:eastAsiaTheme="majorEastAsia" w:hAnsiTheme="minorHAnsi"/>
      <w:color w:themeColor="text1" w:themeTint="a6" w:val="595959"/>
    </w:rPr>
  </w:style>
  <w:style w:type="character" w:styleId="Antrat8Diagrama" w:customStyle="1">
    <w:name w:val="Antraštė 8 Diagrama"/>
    <w:basedOn w:val="DefaultParagraphFont"/>
    <w:link w:val="Heading8"/>
    <w:uiPriority w:val="9"/>
    <w:semiHidden/>
    <w:qFormat/>
    <w:rsid w:val="00507553"/>
    <w:rPr>
      <w:rFonts w:ascii="Calibri" w:hAnsi="Calibri" w:eastAsia="" w:cs="" w:asciiTheme="minorHAnsi" w:cstheme="majorBidi" w:eastAsiaTheme="majorEastAsia" w:hAnsiTheme="minorHAnsi"/>
      <w:i/>
      <w:iCs/>
      <w:color w:themeColor="text1" w:themeTint="d8" w:val="272727"/>
    </w:rPr>
  </w:style>
  <w:style w:type="character" w:styleId="Antrat9Diagrama" w:customStyle="1">
    <w:name w:val="Antraštė 9 Diagrama"/>
    <w:basedOn w:val="DefaultParagraphFont"/>
    <w:link w:val="Heading9"/>
    <w:uiPriority w:val="9"/>
    <w:semiHidden/>
    <w:qFormat/>
    <w:rsid w:val="00507553"/>
    <w:rPr>
      <w:rFonts w:ascii="Calibri" w:hAnsi="Calibri" w:eastAsia="" w:cs="" w:asciiTheme="minorHAnsi" w:cstheme="majorBidi" w:eastAsiaTheme="majorEastAsia" w:hAnsiTheme="minorHAnsi"/>
      <w:color w:themeColor="text1" w:themeTint="d8" w:val="272727"/>
    </w:rPr>
  </w:style>
  <w:style w:type="character" w:styleId="PavadinimasDiagrama" w:customStyle="1">
    <w:name w:val="Pavadinimas Diagrama"/>
    <w:basedOn w:val="DefaultParagraphFont"/>
    <w:link w:val="Title"/>
    <w:uiPriority w:val="10"/>
    <w:qFormat/>
    <w:rsid w:val="00507553"/>
    <w:rPr>
      <w:rFonts w:ascii="Calibri Light" w:hAnsi="Calibri Light"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link w:val="Subtitle"/>
    <w:uiPriority w:val="11"/>
    <w:qFormat/>
    <w:rsid w:val="00507553"/>
    <w:rPr>
      <w:rFonts w:ascii="Calibri" w:hAnsi="Calibri" w:eastAsia="" w:cs="" w:asciiTheme="minorHAnsi" w:cstheme="majorBidi" w:eastAsiaTheme="majorEastAsia" w:hAnsiTheme="minorHAnsi"/>
      <w:color w:themeColor="text1" w:themeTint="a6" w:val="595959"/>
      <w:spacing w:val="15"/>
      <w:sz w:val="28"/>
      <w:szCs w:val="28"/>
    </w:rPr>
  </w:style>
  <w:style w:type="character" w:styleId="CitataDiagrama" w:customStyle="1">
    <w:name w:val="Citata Diagrama"/>
    <w:basedOn w:val="DefaultParagraphFont"/>
    <w:link w:val="Quote"/>
    <w:uiPriority w:val="29"/>
    <w:qFormat/>
    <w:rsid w:val="00507553"/>
    <w:rPr>
      <w:i/>
      <w:iCs/>
      <w:color w:themeColor="text1" w:themeTint="bf" w:val="404040"/>
    </w:rPr>
  </w:style>
  <w:style w:type="character" w:styleId="IntenseEmphasis">
    <w:name w:val="Intense Emphasis"/>
    <w:basedOn w:val="DefaultParagraphFont"/>
    <w:uiPriority w:val="21"/>
    <w:qFormat/>
    <w:rsid w:val="00507553"/>
    <w:rPr>
      <w:i/>
      <w:iCs/>
      <w:color w:themeColor="accent1" w:themeShade="bf" w:val="2F5496"/>
    </w:rPr>
  </w:style>
  <w:style w:type="character" w:styleId="IskirtacitataDiagrama" w:customStyle="1">
    <w:name w:val="Išskirta citata Diagrama"/>
    <w:basedOn w:val="DefaultParagraphFont"/>
    <w:link w:val="IntenseQuote"/>
    <w:uiPriority w:val="30"/>
    <w:qFormat/>
    <w:rsid w:val="00507553"/>
    <w:rPr>
      <w:i/>
      <w:iCs/>
      <w:color w:themeColor="accent1" w:themeShade="bf" w:val="2F5496"/>
    </w:rPr>
  </w:style>
  <w:style w:type="character" w:styleId="IntenseReference">
    <w:name w:val="Intense Reference"/>
    <w:basedOn w:val="DefaultParagraphFont"/>
    <w:uiPriority w:val="32"/>
    <w:qFormat/>
    <w:rsid w:val="00507553"/>
    <w:rPr>
      <w:b/>
      <w:bCs/>
      <w:smallCaps/>
      <w:color w:themeColor="accent1" w:themeShade="bf" w:val="2F5496"/>
      <w:spacing w:val="5"/>
    </w:rPr>
  </w:style>
  <w:style w:type="character" w:styleId="Annotationreference">
    <w:name w:val="annotation reference"/>
    <w:basedOn w:val="DefaultParagraphFont"/>
    <w:uiPriority w:val="99"/>
    <w:semiHidden/>
    <w:unhideWhenUsed/>
    <w:qFormat/>
    <w:rsid w:val="00866575"/>
    <w:rPr>
      <w:sz w:val="16"/>
      <w:szCs w:val="16"/>
    </w:rPr>
  </w:style>
  <w:style w:type="character" w:styleId="KomentarotekstasDiagrama" w:customStyle="1">
    <w:name w:val="Komentaro tekstas Diagrama"/>
    <w:basedOn w:val="DefaultParagraphFont"/>
    <w:link w:val="Annotationtext"/>
    <w:uiPriority w:val="99"/>
    <w:qFormat/>
    <w:rsid w:val="00866575"/>
    <w:rPr>
      <w:rFonts w:eastAsia="Times New Roman" w:cs="Times New Roman"/>
      <w:kern w:val="0"/>
      <w:sz w:val="20"/>
      <w:szCs w:val="20"/>
      <w14:ligatures w14:val="none"/>
    </w:rPr>
  </w:style>
  <w:style w:type="character" w:styleId="KomentarotemaDiagrama" w:customStyle="1">
    <w:name w:val="Komentaro tema Diagrama"/>
    <w:basedOn w:val="KomentarotekstasDiagrama"/>
    <w:link w:val="Annotationsubject"/>
    <w:uiPriority w:val="99"/>
    <w:semiHidden/>
    <w:qFormat/>
    <w:rsid w:val="00866575"/>
    <w:rPr>
      <w:rFonts w:eastAsia="Times New Roman" w:cs="Times New Roman"/>
      <w:b/>
      <w:bCs/>
      <w:kern w:val="0"/>
      <w:sz w:val="20"/>
      <w:szCs w:val="20"/>
      <w14:ligatures w14:val="none"/>
    </w:rPr>
  </w:style>
  <w:style w:type="character" w:styleId="Normaltextrun" w:customStyle="1">
    <w:name w:val="normaltextrun"/>
    <w:basedOn w:val="DefaultParagraphFont"/>
    <w:qFormat/>
    <w:rsid w:val="00414f6a"/>
    <w:rPr/>
  </w:style>
  <w:style w:type="character" w:styleId="Eop" w:customStyle="1">
    <w:name w:val="eop"/>
    <w:basedOn w:val="DefaultParagraphFont"/>
    <w:qFormat/>
    <w:rsid w:val="00414f6a"/>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PavadinimasDiagrama"/>
    <w:uiPriority w:val="10"/>
    <w:qFormat/>
    <w:rsid w:val="00507553"/>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11"/>
    <w:qFormat/>
    <w:rsid w:val="00507553"/>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CitataDiagrama"/>
    <w:uiPriority w:val="29"/>
    <w:qFormat/>
    <w:rsid w:val="00507553"/>
    <w:pPr>
      <w:spacing w:before="160" w:after="160"/>
      <w:jc w:val="center"/>
    </w:pPr>
    <w:rPr>
      <w:i/>
      <w:iCs/>
      <w:color w:themeColor="text1" w:themeTint="bf" w:val="404040"/>
    </w:rPr>
  </w:style>
  <w:style w:type="paragraph" w:styleId="ListParagraph">
    <w:name w:val="List Paragraph"/>
    <w:basedOn w:val="Normal"/>
    <w:uiPriority w:val="34"/>
    <w:qFormat/>
    <w:rsid w:val="00507553"/>
    <w:pPr>
      <w:spacing w:before="0" w:after="0"/>
      <w:ind w:left="720"/>
      <w:contextualSpacing/>
    </w:pPr>
    <w:rPr/>
  </w:style>
  <w:style w:type="paragraph" w:styleId="IntenseQuote">
    <w:name w:val="Intense Quote"/>
    <w:basedOn w:val="Normal"/>
    <w:next w:val="Normal"/>
    <w:link w:val="IskirtacitataDiagrama"/>
    <w:uiPriority w:val="30"/>
    <w:qFormat/>
    <w:rsid w:val="00507553"/>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Annotationtext">
    <w:name w:val="annotation text"/>
    <w:basedOn w:val="Normal"/>
    <w:link w:val="KomentarotekstasDiagrama"/>
    <w:uiPriority w:val="99"/>
    <w:unhideWhenUsed/>
    <w:qFormat/>
    <w:rsid w:val="00866575"/>
    <w:pPr/>
    <w:rPr>
      <w:sz w:val="20"/>
    </w:rPr>
  </w:style>
  <w:style w:type="paragraph" w:styleId="Annotationsubject">
    <w:name w:val="annotation subject"/>
    <w:basedOn w:val="Annotationtext"/>
    <w:next w:val="Annotationtext"/>
    <w:link w:val="KomentarotemaDiagrama"/>
    <w:uiPriority w:val="99"/>
    <w:semiHidden/>
    <w:unhideWhenUsed/>
    <w:qFormat/>
    <w:rsid w:val="0086657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89</TotalTime>
  <Application>LibreOffice/7.6.4.1$Windows_X86_64 LibreOffice_project/e19e193f88cd6c0525a17fb7a176ed8e6a3e2aa1</Application>
  <AppVersion>15.0000</AppVersion>
  <Pages>4</Pages>
  <Words>2051</Words>
  <Characters>15044</Characters>
  <CharactersWithSpaces>17040</CharactersWithSpaces>
  <Paragraphs>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2026-03-06T09:37:00Z</dcterms:created>
  <dc:creator>Jūratė Šilgalytė</dc:creator>
  <dc:description/>
  <dc:language>en-US</dc:language>
  <cp:lastModifiedBy>Jūratė Šilgalytė</cp:lastModifiedBy>
  <dcterms:modified xsi:type="dcterms:W3CDTF">2026-05-06T09:23:00Z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